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C33" w:rsidRPr="00FA18B7" w:rsidRDefault="002A7D05" w:rsidP="002A7D05">
      <w:pPr>
        <w:jc w:val="center"/>
        <w:rPr>
          <w:rFonts w:ascii="Times New Roman" w:hAnsi="Times New Roman"/>
          <w:b/>
          <w:color w:val="000000" w:themeColor="text1"/>
          <w:szCs w:val="24"/>
          <w:lang w:val="id-ID"/>
        </w:rPr>
      </w:pPr>
      <w:r w:rsidRPr="00FA18B7">
        <w:rPr>
          <w:rFonts w:ascii="Times New Roman" w:hAnsi="Times New Roman"/>
          <w:b/>
          <w:color w:val="000000" w:themeColor="text1"/>
          <w:szCs w:val="24"/>
          <w:lang w:val="id-ID"/>
        </w:rPr>
        <w:t xml:space="preserve">TIPE KEPEMILIKAN DAN </w:t>
      </w:r>
      <w:r w:rsidR="00FA18B7" w:rsidRPr="00FA18B7">
        <w:rPr>
          <w:rFonts w:ascii="Times New Roman" w:hAnsi="Times New Roman"/>
          <w:b/>
          <w:color w:val="000000" w:themeColor="text1"/>
          <w:szCs w:val="24"/>
          <w:lang w:val="id-ID"/>
        </w:rPr>
        <w:t xml:space="preserve">HARGA </w:t>
      </w:r>
      <w:r w:rsidRPr="00FA18B7">
        <w:rPr>
          <w:rFonts w:ascii="Times New Roman" w:hAnsi="Times New Roman"/>
          <w:b/>
          <w:color w:val="000000" w:themeColor="text1"/>
          <w:szCs w:val="24"/>
          <w:lang w:val="id-ID"/>
        </w:rPr>
        <w:t>SAHAM PT BUKIT ASAM</w:t>
      </w:r>
      <w:r w:rsidR="000B1676">
        <w:rPr>
          <w:rStyle w:val="FootnoteReference"/>
          <w:rFonts w:ascii="Times New Roman" w:hAnsi="Times New Roman"/>
          <w:b/>
          <w:color w:val="000000" w:themeColor="text1"/>
          <w:szCs w:val="24"/>
          <w:lang w:val="id-ID"/>
        </w:rPr>
        <w:footnoteReference w:id="1"/>
      </w:r>
    </w:p>
    <w:p w:rsidR="002A7D05" w:rsidRDefault="002A7D05" w:rsidP="002A7D05">
      <w:pPr>
        <w:jc w:val="center"/>
        <w:rPr>
          <w:rFonts w:ascii="Times New Roman" w:hAnsi="Times New Roman"/>
          <w:color w:val="000000" w:themeColor="text1"/>
          <w:szCs w:val="24"/>
          <w:lang w:val="id-ID"/>
        </w:rPr>
      </w:pPr>
      <w:r>
        <w:rPr>
          <w:rFonts w:ascii="Times New Roman" w:hAnsi="Times New Roman"/>
          <w:color w:val="000000" w:themeColor="text1"/>
          <w:szCs w:val="24"/>
          <w:lang w:val="id-ID"/>
        </w:rPr>
        <w:t>Oleh:</w:t>
      </w:r>
    </w:p>
    <w:p w:rsidR="002A7D05" w:rsidRDefault="002A7D05" w:rsidP="002A7D05">
      <w:pPr>
        <w:jc w:val="center"/>
        <w:rPr>
          <w:rFonts w:ascii="Times New Roman" w:hAnsi="Times New Roman"/>
          <w:color w:val="000000" w:themeColor="text1"/>
          <w:szCs w:val="24"/>
          <w:lang w:val="id-ID"/>
        </w:rPr>
      </w:pPr>
      <w:r>
        <w:rPr>
          <w:rFonts w:ascii="Times New Roman" w:hAnsi="Times New Roman"/>
          <w:color w:val="000000" w:themeColor="text1"/>
          <w:szCs w:val="24"/>
          <w:lang w:val="id-ID"/>
        </w:rPr>
        <w:t>Sujatmika</w:t>
      </w:r>
    </w:p>
    <w:p w:rsidR="002A7D05" w:rsidRDefault="002A7D05" w:rsidP="002A7D05">
      <w:pPr>
        <w:jc w:val="center"/>
        <w:rPr>
          <w:rFonts w:ascii="Times New Roman" w:hAnsi="Times New Roman"/>
          <w:color w:val="000000" w:themeColor="text1"/>
          <w:szCs w:val="24"/>
          <w:lang w:val="id-ID"/>
        </w:rPr>
      </w:pPr>
      <w:r>
        <w:rPr>
          <w:rFonts w:ascii="Times New Roman" w:hAnsi="Times New Roman"/>
          <w:color w:val="000000" w:themeColor="text1"/>
          <w:szCs w:val="24"/>
          <w:lang w:val="id-ID"/>
        </w:rPr>
        <w:t>Sri Suryaningsum</w:t>
      </w:r>
    </w:p>
    <w:p w:rsidR="002A7D05" w:rsidRDefault="002A7D05" w:rsidP="002A7D05">
      <w:pPr>
        <w:jc w:val="center"/>
        <w:rPr>
          <w:rFonts w:ascii="Times New Roman" w:hAnsi="Times New Roman"/>
          <w:color w:val="000000" w:themeColor="text1"/>
          <w:szCs w:val="24"/>
          <w:lang w:val="id-ID"/>
        </w:rPr>
      </w:pPr>
    </w:p>
    <w:p w:rsidR="002A7D05" w:rsidRDefault="002A7D05" w:rsidP="002A7D05">
      <w:pPr>
        <w:jc w:val="center"/>
        <w:rPr>
          <w:rFonts w:ascii="Times New Roman" w:hAnsi="Times New Roman"/>
          <w:b/>
          <w:color w:val="000000" w:themeColor="text1"/>
          <w:szCs w:val="24"/>
          <w:lang w:val="id-ID"/>
        </w:rPr>
      </w:pPr>
      <w:r w:rsidRPr="00FA18B7">
        <w:rPr>
          <w:rFonts w:ascii="Times New Roman" w:hAnsi="Times New Roman"/>
          <w:b/>
          <w:color w:val="000000" w:themeColor="text1"/>
          <w:szCs w:val="24"/>
          <w:lang w:val="id-ID"/>
        </w:rPr>
        <w:t>Abstrak</w:t>
      </w:r>
    </w:p>
    <w:p w:rsidR="00FA18B7" w:rsidRPr="00FA18B7" w:rsidRDefault="00FA18B7" w:rsidP="002A7D05">
      <w:pPr>
        <w:jc w:val="center"/>
        <w:rPr>
          <w:rFonts w:ascii="Times New Roman" w:hAnsi="Times New Roman"/>
          <w:b/>
          <w:color w:val="000000" w:themeColor="text1"/>
          <w:szCs w:val="24"/>
          <w:lang w:val="id-ID"/>
        </w:rPr>
      </w:pPr>
    </w:p>
    <w:p w:rsidR="00FA18B7" w:rsidRDefault="0040272F" w:rsidP="0040272F">
      <w:pPr>
        <w:spacing w:after="0" w:line="240" w:lineRule="auto"/>
        <w:ind w:left="851" w:right="703"/>
        <w:jc w:val="both"/>
        <w:rPr>
          <w:rFonts w:ascii="Times New Roman" w:hAnsi="Times New Roman"/>
          <w:color w:val="000000" w:themeColor="text1"/>
          <w:szCs w:val="24"/>
          <w:lang w:val="id-ID"/>
        </w:rPr>
      </w:pPr>
      <w:r>
        <w:rPr>
          <w:rFonts w:ascii="Times New Roman" w:hAnsi="Times New Roman"/>
          <w:color w:val="000000" w:themeColor="text1"/>
          <w:szCs w:val="24"/>
          <w:lang w:val="id-ID"/>
        </w:rPr>
        <w:t>Artikel penelitian ini bertujuan meneliti tipe kepemilikan berdasarkan harga saham untuk PT Bukit Asam. Hasilnya menunjukkan bahwa kinerja operasional yang bagus dan strategi yang cerdas dapat mengatasi permasalaha</w:t>
      </w:r>
      <w:r w:rsidR="002405BF">
        <w:rPr>
          <w:rFonts w:ascii="Times New Roman" w:hAnsi="Times New Roman"/>
          <w:color w:val="000000" w:themeColor="text1"/>
          <w:szCs w:val="24"/>
          <w:lang w:val="id-ID"/>
        </w:rPr>
        <w:t xml:space="preserve">n penurunan harga produksinya. </w:t>
      </w:r>
      <w:r w:rsidR="00FA18B7">
        <w:rPr>
          <w:rFonts w:ascii="Times New Roman" w:hAnsi="Times New Roman"/>
          <w:color w:val="000000" w:themeColor="text1"/>
          <w:szCs w:val="24"/>
          <w:lang w:val="id-ID"/>
        </w:rPr>
        <w:t xml:space="preserve">Tambang batubara merupakan sektor industri yang mengalami penurunan laba secara umum akibat turunnya harga batubara di dunia pada tahun 2013.  </w:t>
      </w:r>
      <w:r w:rsidR="00B66019">
        <w:rPr>
          <w:rFonts w:ascii="Times New Roman" w:hAnsi="Times New Roman"/>
          <w:color w:val="000000" w:themeColor="text1"/>
          <w:szCs w:val="24"/>
          <w:lang w:val="id-ID"/>
        </w:rPr>
        <w:t xml:space="preserve">PT Bukit Asam adalah perusahaan tambang batubara yang listing di pasar modal Indonesia. </w:t>
      </w:r>
      <w:r w:rsidR="00FA18B7">
        <w:rPr>
          <w:rFonts w:ascii="Times New Roman" w:hAnsi="Times New Roman"/>
          <w:color w:val="000000" w:themeColor="text1"/>
          <w:szCs w:val="24"/>
          <w:lang w:val="id-ID"/>
        </w:rPr>
        <w:t>PT Bukit Asam merupakan salah satu BUMN dengan kinerja keuangan yang bagus. Sejak listing di Bursa Efek Indonesia tahun 2002 harga sahamnya selama ini termasuk kategori blue chip. Tipe kepemilikan asing yang meningkat menjadi indikator bahwa kinerja keua</w:t>
      </w:r>
      <w:r>
        <w:rPr>
          <w:rFonts w:ascii="Times New Roman" w:hAnsi="Times New Roman"/>
          <w:color w:val="000000" w:themeColor="text1"/>
          <w:szCs w:val="24"/>
          <w:lang w:val="id-ID"/>
        </w:rPr>
        <w:t>ngan PT Bukit Asam tetap memiliki prospek nilai perusahaan yang bagus.</w:t>
      </w:r>
    </w:p>
    <w:p w:rsidR="0040272F" w:rsidRDefault="0040272F" w:rsidP="0040272F">
      <w:pPr>
        <w:spacing w:after="0" w:line="240" w:lineRule="auto"/>
        <w:ind w:left="851" w:right="703"/>
        <w:jc w:val="both"/>
        <w:rPr>
          <w:rFonts w:ascii="Times New Roman" w:hAnsi="Times New Roman"/>
          <w:color w:val="000000" w:themeColor="text1"/>
          <w:szCs w:val="24"/>
          <w:lang w:val="id-ID"/>
        </w:rPr>
      </w:pPr>
    </w:p>
    <w:p w:rsidR="0040272F" w:rsidRPr="0040272F" w:rsidRDefault="0040272F" w:rsidP="0040272F">
      <w:pPr>
        <w:spacing w:after="0" w:line="240" w:lineRule="auto"/>
        <w:ind w:left="2127" w:right="703" w:hanging="1276"/>
        <w:jc w:val="both"/>
        <w:rPr>
          <w:rFonts w:ascii="Times New Roman" w:hAnsi="Times New Roman"/>
          <w:szCs w:val="24"/>
          <w:lang w:val="id-ID"/>
        </w:rPr>
      </w:pPr>
      <w:r>
        <w:rPr>
          <w:rFonts w:ascii="Times New Roman" w:hAnsi="Times New Roman"/>
          <w:color w:val="000000" w:themeColor="text1"/>
          <w:szCs w:val="24"/>
          <w:lang w:val="id-ID"/>
        </w:rPr>
        <w:t>Kata kunci: PT Bukit Asam, tipe kepemilikan, harga saham, tambang</w:t>
      </w:r>
      <w:r w:rsidRPr="0040272F">
        <w:rPr>
          <w:rFonts w:ascii="Times New Roman" w:hAnsi="Times New Roman"/>
          <w:szCs w:val="24"/>
          <w:lang w:val="id-ID"/>
        </w:rPr>
        <w:t xml:space="preserve"> batubara</w:t>
      </w:r>
    </w:p>
    <w:p w:rsidR="0040272F" w:rsidRDefault="0040272F" w:rsidP="0040272F">
      <w:pPr>
        <w:pStyle w:val="ListParagraph"/>
        <w:spacing w:before="288" w:line="189" w:lineRule="auto"/>
        <w:ind w:left="927"/>
        <w:jc w:val="left"/>
        <w:rPr>
          <w:rFonts w:ascii="Times New Roman" w:hAnsi="Times New Roman"/>
          <w:b/>
          <w:bCs/>
          <w:w w:val="105"/>
          <w:szCs w:val="24"/>
        </w:rPr>
      </w:pPr>
    </w:p>
    <w:p w:rsidR="0040272F" w:rsidRDefault="0040272F" w:rsidP="0040272F">
      <w:pPr>
        <w:pStyle w:val="ListParagraph"/>
        <w:spacing w:before="288" w:line="189" w:lineRule="auto"/>
        <w:ind w:left="927"/>
        <w:jc w:val="left"/>
        <w:rPr>
          <w:rFonts w:ascii="Times New Roman" w:hAnsi="Times New Roman"/>
          <w:b/>
          <w:bCs/>
          <w:w w:val="105"/>
          <w:szCs w:val="24"/>
        </w:rPr>
      </w:pPr>
    </w:p>
    <w:p w:rsidR="00316BC2" w:rsidRDefault="00316BC2">
      <w:pPr>
        <w:rPr>
          <w:rFonts w:ascii="Times New Roman" w:hAnsi="Times New Roman"/>
          <w:b/>
          <w:bCs/>
          <w:w w:val="105"/>
          <w:sz w:val="22"/>
          <w:szCs w:val="24"/>
          <w:lang w:val="id-ID"/>
        </w:rPr>
      </w:pPr>
      <w:r>
        <w:rPr>
          <w:rFonts w:ascii="Times New Roman" w:hAnsi="Times New Roman"/>
          <w:b/>
          <w:bCs/>
          <w:w w:val="105"/>
          <w:szCs w:val="24"/>
        </w:rPr>
        <w:br w:type="page"/>
      </w:r>
    </w:p>
    <w:p w:rsidR="001F003A" w:rsidRPr="00316BC2" w:rsidRDefault="0040272F" w:rsidP="00316BC2">
      <w:pPr>
        <w:pStyle w:val="ListParagraph"/>
        <w:numPr>
          <w:ilvl w:val="0"/>
          <w:numId w:val="8"/>
        </w:numPr>
        <w:spacing w:before="288" w:line="189" w:lineRule="auto"/>
        <w:rPr>
          <w:rFonts w:ascii="Times New Roman" w:hAnsi="Times New Roman"/>
          <w:b/>
          <w:bCs/>
          <w:w w:val="105"/>
          <w:szCs w:val="24"/>
        </w:rPr>
      </w:pPr>
      <w:r w:rsidRPr="0040272F">
        <w:rPr>
          <w:rFonts w:ascii="Times New Roman" w:hAnsi="Times New Roman"/>
          <w:b/>
          <w:bCs/>
          <w:w w:val="105"/>
          <w:szCs w:val="24"/>
        </w:rPr>
        <w:lastRenderedPageBreak/>
        <w:t>Latar Belakang</w:t>
      </w:r>
    </w:p>
    <w:p w:rsidR="001F003A" w:rsidRPr="001F003A" w:rsidRDefault="001F003A" w:rsidP="00316BC2">
      <w:pPr>
        <w:autoSpaceDE w:val="0"/>
        <w:autoSpaceDN w:val="0"/>
        <w:adjustRightInd w:val="0"/>
        <w:spacing w:after="0" w:line="400" w:lineRule="atLeast"/>
        <w:ind w:left="720" w:firstLine="720"/>
        <w:jc w:val="both"/>
        <w:rPr>
          <w:rFonts w:ascii="Times New Roman" w:hAnsi="Times New Roman"/>
          <w:color w:val="000000" w:themeColor="text1"/>
          <w:szCs w:val="24"/>
          <w:lang w:val="id-ID" w:eastAsia="id-ID"/>
        </w:rPr>
      </w:pPr>
      <w:r w:rsidRPr="001F003A">
        <w:rPr>
          <w:rFonts w:ascii="Times New Roman" w:hAnsi="Times New Roman"/>
          <w:color w:val="000000" w:themeColor="text1"/>
          <w:szCs w:val="24"/>
          <w:lang w:eastAsia="id-ID"/>
        </w:rPr>
        <w:t xml:space="preserve">Hasil penelitian Sujatmika &amp; Suryaningsum (2011, 2012, 2013) yang menguji pengaruh tipe kepemilikan geografis dan jenis tipe kepemilikan terhadap kinerja perusahaan dalam sektor industri </w:t>
      </w:r>
      <w:proofErr w:type="gramStart"/>
      <w:r w:rsidRPr="001F003A">
        <w:rPr>
          <w:rFonts w:ascii="Times New Roman" w:hAnsi="Times New Roman"/>
          <w:color w:val="000000" w:themeColor="text1"/>
          <w:szCs w:val="24"/>
          <w:lang w:eastAsia="id-ID"/>
        </w:rPr>
        <w:t>consumers</w:t>
      </w:r>
      <w:proofErr w:type="gramEnd"/>
      <w:r w:rsidRPr="001F003A">
        <w:rPr>
          <w:rFonts w:ascii="Times New Roman" w:hAnsi="Times New Roman"/>
          <w:color w:val="000000" w:themeColor="text1"/>
          <w:szCs w:val="24"/>
          <w:lang w:eastAsia="id-ID"/>
        </w:rPr>
        <w:t xml:space="preserve"> goods menunjukkan bahwa hanya jenis tipe kepemilikan yang berpengaruh terhadap kinerja perusahaan. Hasil koefisien regresi penelitian-penelitian tersebut menunjukkan tipe kepemilikan domisili tidak memiliki pengaruh terhadap kinerja operating revenue per turn over. Hal ini berarti bahwa kinerja tidak ditentukan oleh jenis investornya, apakah investor dalam negeri atau investor luar negeri. Dapat dijelaskan bahwa untuk keberhasilan industri </w:t>
      </w:r>
      <w:proofErr w:type="gramStart"/>
      <w:r w:rsidRPr="001F003A">
        <w:rPr>
          <w:rFonts w:ascii="Times New Roman" w:hAnsi="Times New Roman"/>
          <w:color w:val="000000" w:themeColor="text1"/>
          <w:szCs w:val="24"/>
          <w:lang w:eastAsia="id-ID"/>
        </w:rPr>
        <w:t>consumers</w:t>
      </w:r>
      <w:proofErr w:type="gramEnd"/>
      <w:r w:rsidRPr="001F003A">
        <w:rPr>
          <w:rFonts w:ascii="Times New Roman" w:hAnsi="Times New Roman"/>
          <w:color w:val="000000" w:themeColor="text1"/>
          <w:szCs w:val="24"/>
          <w:lang w:eastAsia="id-ID"/>
        </w:rPr>
        <w:t xml:space="preserve"> goods lebih banyak ditentukan oleh kerja keras pihak direksi dan pihak managemen dalam penetrasi pasar baik operasional maupun pemasarannya.  Produk consumer goods yang berhasil adalah produk </w:t>
      </w:r>
      <w:proofErr w:type="gramStart"/>
      <w:r w:rsidRPr="001F003A">
        <w:rPr>
          <w:rFonts w:ascii="Times New Roman" w:hAnsi="Times New Roman"/>
          <w:color w:val="000000" w:themeColor="text1"/>
          <w:szCs w:val="24"/>
          <w:lang w:eastAsia="id-ID"/>
        </w:rPr>
        <w:t>yang  mengenal</w:t>
      </w:r>
      <w:proofErr w:type="gramEnd"/>
      <w:r w:rsidRPr="001F003A">
        <w:rPr>
          <w:rFonts w:ascii="Times New Roman" w:hAnsi="Times New Roman"/>
          <w:color w:val="000000" w:themeColor="text1"/>
          <w:szCs w:val="24"/>
          <w:lang w:eastAsia="id-ID"/>
        </w:rPr>
        <w:t xml:space="preserve"> betul karakteristik  segmen pasarnya, sehingga menghasilkan produksi consumers goods yang sesuai dengan selera pasar.</w:t>
      </w:r>
    </w:p>
    <w:p w:rsidR="008B2404" w:rsidRDefault="00114967" w:rsidP="00316BC2">
      <w:pPr>
        <w:autoSpaceDE w:val="0"/>
        <w:autoSpaceDN w:val="0"/>
        <w:adjustRightInd w:val="0"/>
        <w:spacing w:after="0" w:line="400" w:lineRule="atLeast"/>
        <w:ind w:left="720" w:firstLine="720"/>
        <w:jc w:val="both"/>
        <w:rPr>
          <w:rFonts w:ascii="Times New Roman" w:hAnsi="Times New Roman"/>
          <w:lang w:val="id-ID"/>
        </w:rPr>
      </w:pPr>
      <w:r>
        <w:rPr>
          <w:rFonts w:ascii="Times New Roman" w:hAnsi="Times New Roman"/>
          <w:color w:val="000000" w:themeColor="text1"/>
          <w:szCs w:val="24"/>
          <w:lang w:val="id-ID" w:eastAsia="id-ID"/>
        </w:rPr>
        <w:t>Untuk sektor industri pertambangan boleh jadi karakteristik tipe kepemilikan baik ditinjau dari tipe geografisnya kepemilikan mau</w:t>
      </w:r>
      <w:r w:rsidRPr="00432133">
        <w:rPr>
          <w:rFonts w:ascii="Times New Roman" w:hAnsi="Times New Roman"/>
          <w:color w:val="000000" w:themeColor="text1"/>
          <w:szCs w:val="24"/>
          <w:lang w:val="id-ID" w:eastAsia="id-ID"/>
        </w:rPr>
        <w:t xml:space="preserve">pun tipe kepemilikan berdasarkan institusional akan mendapatkan hasil yang berbeda. Dalam penelitian ini akan ditelaah secara mendalam tipe kepemilikan dan harga saham untuk perusahaan pertambangan yang representasif kinerja keuangannya sejak perusahaan tersebut listing. Atas dasar alasan ini maka dipilih PT Bukit Asam dalam penelitian ini. </w:t>
      </w:r>
      <w:r w:rsidR="001F003A" w:rsidRPr="00432133">
        <w:rPr>
          <w:rFonts w:ascii="Times New Roman" w:hAnsi="Times New Roman"/>
          <w:color w:val="000000" w:themeColor="text1"/>
          <w:szCs w:val="24"/>
          <w:lang w:val="id-ID" w:eastAsia="id-ID"/>
        </w:rPr>
        <w:t xml:space="preserve">PT Bukit Asam adalah perusahaan </w:t>
      </w:r>
      <w:r w:rsidR="001F003A" w:rsidRPr="00432133">
        <w:rPr>
          <w:rFonts w:ascii="Times New Roman" w:hAnsi="Times New Roman"/>
        </w:rPr>
        <w:t xml:space="preserve">tambang batu bara. Pada 23 Desember 2002, Perseroan mencatatkan diri sebagai perusahaan publik di Bursa Efek Indonesia dengan kode perdagangan “PTBA”. Tipe  kepemilikan berdasarkan geografis </w:t>
      </w:r>
      <w:r w:rsidRPr="00432133">
        <w:rPr>
          <w:rFonts w:ascii="Times New Roman" w:hAnsi="Times New Roman"/>
        </w:rPr>
        <w:t xml:space="preserve">untuk pemodal asing secara total </w:t>
      </w:r>
      <w:r w:rsidR="001F003A" w:rsidRPr="00432133">
        <w:rPr>
          <w:rFonts w:ascii="Times New Roman" w:hAnsi="Times New Roman"/>
        </w:rPr>
        <w:t xml:space="preserve">semakin meningkat </w:t>
      </w:r>
      <w:r w:rsidRPr="00432133">
        <w:rPr>
          <w:rFonts w:ascii="Times New Roman" w:hAnsi="Times New Roman"/>
        </w:rPr>
        <w:t xml:space="preserve">jumlah sahamnya pada PT Bukit Asam, </w:t>
      </w:r>
      <w:r w:rsidRPr="008B2404">
        <w:rPr>
          <w:rFonts w:ascii="Times New Roman" w:hAnsi="Times New Roman"/>
        </w:rPr>
        <w:t>yaitu tahun 2011 tercatat 18, 74194% dan tahun 2012 tercatat sebesar 18,79507%.</w:t>
      </w:r>
      <w:r w:rsidR="008B2404" w:rsidRPr="008B2404">
        <w:rPr>
          <w:rFonts w:ascii="Times New Roman" w:hAnsi="Times New Roman"/>
          <w:lang w:val="id-ID"/>
        </w:rPr>
        <w:t xml:space="preserve"> </w:t>
      </w:r>
    </w:p>
    <w:p w:rsidR="008B2404" w:rsidRPr="008B2404" w:rsidRDefault="008B2404" w:rsidP="00316BC2">
      <w:pPr>
        <w:autoSpaceDE w:val="0"/>
        <w:autoSpaceDN w:val="0"/>
        <w:adjustRightInd w:val="0"/>
        <w:spacing w:after="0" w:line="400" w:lineRule="atLeast"/>
        <w:ind w:left="720" w:firstLine="720"/>
        <w:jc w:val="both"/>
        <w:rPr>
          <w:rFonts w:ascii="Times New Roman" w:hAnsi="Times New Roman"/>
          <w:lang w:val="id-ID"/>
        </w:rPr>
      </w:pPr>
      <w:r w:rsidRPr="008B2404">
        <w:rPr>
          <w:rFonts w:ascii="Times New Roman" w:hAnsi="Times New Roman"/>
          <w:lang w:val="fi-FI"/>
        </w:rPr>
        <w:t xml:space="preserve">Tujuan perusahaan adalah memaksimalkan nilai perusahaan melalui implementasi keputusan keuangan yang terdiri dari keputusan investasi, keuangan dan kebijakan dividen. Ketiga keputusan keuangan tersebut aling terkait satu dengan yang lainnya atau terjadi interdependensi. Dalam proses pencapaian tujuan memaksimalkan nilai perusahaan akan muncul perbedaan kepentingan di antara manajer dan pemegang saham sebagai pemilik perusahaan, disebut sebagai </w:t>
      </w:r>
      <w:r w:rsidRPr="008B2404">
        <w:rPr>
          <w:rFonts w:ascii="Times New Roman" w:hAnsi="Times New Roman"/>
          <w:i/>
          <w:iCs/>
          <w:lang w:val="fi-FI"/>
        </w:rPr>
        <w:lastRenderedPageBreak/>
        <w:t xml:space="preserve">agency conflict.  </w:t>
      </w:r>
      <w:r w:rsidRPr="008B2404">
        <w:rPr>
          <w:rFonts w:ascii="Times New Roman" w:hAnsi="Times New Roman"/>
          <w:lang w:val="fi-FI"/>
        </w:rPr>
        <w:t>Dengan demikian maka secara eksplisit dapat dinyatakan bahwa karakteristik yang umum pada suatu struktur kepemilikan perusahaan dapat mempengaruhi pencapaian tujuan perusahaan dan berarti pula mempengaruhi keputusan keuangan yang terdiri dari keputusan investasi, keuangan dan kebijakan dividen.</w:t>
      </w:r>
    </w:p>
    <w:p w:rsidR="001F003A" w:rsidRPr="001F003A" w:rsidRDefault="00114967" w:rsidP="00316BC2">
      <w:pPr>
        <w:autoSpaceDE w:val="0"/>
        <w:autoSpaceDN w:val="0"/>
        <w:adjustRightInd w:val="0"/>
        <w:spacing w:after="0" w:line="400" w:lineRule="atLeast"/>
        <w:ind w:left="720" w:firstLine="720"/>
        <w:jc w:val="both"/>
        <w:rPr>
          <w:rFonts w:ascii="Times New Roman" w:hAnsi="Times New Roman"/>
          <w:color w:val="000000" w:themeColor="text1"/>
          <w:szCs w:val="24"/>
          <w:lang w:val="id-ID" w:eastAsia="id-ID"/>
        </w:rPr>
      </w:pPr>
      <w:r w:rsidRPr="008B2404">
        <w:rPr>
          <w:rFonts w:ascii="Times New Roman" w:hAnsi="Times New Roman"/>
          <w:color w:val="000000" w:themeColor="text1"/>
          <w:szCs w:val="24"/>
          <w:lang w:val="id-ID" w:eastAsia="id-ID"/>
        </w:rPr>
        <w:t>Organisasi artikel hasil penelitian</w:t>
      </w:r>
      <w:r w:rsidRPr="00432133">
        <w:rPr>
          <w:rFonts w:ascii="Times New Roman" w:hAnsi="Times New Roman"/>
          <w:color w:val="000000" w:themeColor="text1"/>
          <w:szCs w:val="24"/>
          <w:lang w:val="id-ID" w:eastAsia="id-ID"/>
        </w:rPr>
        <w:t xml:space="preserve"> tipe kepemi</w:t>
      </w:r>
      <w:r>
        <w:rPr>
          <w:rFonts w:ascii="Times New Roman" w:hAnsi="Times New Roman"/>
          <w:color w:val="000000" w:themeColor="text1"/>
          <w:szCs w:val="24"/>
          <w:lang w:val="id-ID" w:eastAsia="id-ID"/>
        </w:rPr>
        <w:t>likan dan harga saham untuk PT Bukit Asam ini adalah sebagai berikut, profil PT Bukit Asam</w:t>
      </w:r>
      <w:r w:rsidR="00432133">
        <w:rPr>
          <w:rFonts w:ascii="Times New Roman" w:hAnsi="Times New Roman"/>
          <w:color w:val="000000" w:themeColor="text1"/>
          <w:szCs w:val="24"/>
          <w:lang w:val="id-ID" w:eastAsia="id-ID"/>
        </w:rPr>
        <w:t xml:space="preserve"> dan peraturan-peraturan tentang  perusahaan pertambangan batu bara, pembahasan tipe kepemilikan mencakupi pemodal nasional dan pemodal asing, pembahasan tipe kepemilikan berdasarkan keinstitusionalannya, pembahasan laba dan dividen,</w:t>
      </w:r>
      <w:r w:rsidR="008B2404">
        <w:rPr>
          <w:rFonts w:ascii="Times New Roman" w:hAnsi="Times New Roman"/>
          <w:color w:val="000000" w:themeColor="text1"/>
          <w:szCs w:val="24"/>
          <w:lang w:val="id-ID" w:eastAsia="id-ID"/>
        </w:rPr>
        <w:t xml:space="preserve"> pembahasan strategi investasi PTBA,</w:t>
      </w:r>
      <w:r w:rsidR="00432133">
        <w:rPr>
          <w:rFonts w:ascii="Times New Roman" w:hAnsi="Times New Roman"/>
          <w:color w:val="000000" w:themeColor="text1"/>
          <w:szCs w:val="24"/>
          <w:lang w:val="id-ID" w:eastAsia="id-ID"/>
        </w:rPr>
        <w:t xml:space="preserve"> serta penutup berupa simpulan </w:t>
      </w:r>
    </w:p>
    <w:p w:rsidR="0040272F" w:rsidRDefault="0040272F" w:rsidP="001F003A">
      <w:pPr>
        <w:spacing w:after="0" w:line="360" w:lineRule="auto"/>
        <w:rPr>
          <w:rFonts w:ascii="Times New Roman" w:hAnsi="Times New Roman"/>
          <w:b/>
          <w:bCs/>
          <w:w w:val="105"/>
          <w:szCs w:val="24"/>
          <w:lang w:val="id-ID"/>
        </w:rPr>
      </w:pPr>
    </w:p>
    <w:p w:rsidR="0040272F" w:rsidRPr="0040272F" w:rsidRDefault="0040272F" w:rsidP="0040272F">
      <w:pPr>
        <w:spacing w:after="0" w:line="360" w:lineRule="auto"/>
        <w:rPr>
          <w:rFonts w:ascii="Times New Roman" w:hAnsi="Times New Roman"/>
          <w:b/>
          <w:bCs/>
          <w:w w:val="105"/>
          <w:szCs w:val="24"/>
          <w:lang w:val="id-ID"/>
        </w:rPr>
      </w:pPr>
    </w:p>
    <w:p w:rsidR="0040272F" w:rsidRDefault="0040272F" w:rsidP="0040272F">
      <w:pPr>
        <w:pStyle w:val="ListParagraph"/>
        <w:numPr>
          <w:ilvl w:val="0"/>
          <w:numId w:val="8"/>
        </w:numPr>
        <w:spacing w:before="288" w:line="189" w:lineRule="auto"/>
        <w:rPr>
          <w:rFonts w:ascii="Times New Roman" w:hAnsi="Times New Roman"/>
          <w:b/>
          <w:bCs/>
          <w:w w:val="105"/>
          <w:szCs w:val="24"/>
        </w:rPr>
      </w:pPr>
      <w:r>
        <w:rPr>
          <w:rFonts w:ascii="Times New Roman" w:hAnsi="Times New Roman"/>
          <w:b/>
          <w:bCs/>
          <w:w w:val="105"/>
          <w:szCs w:val="24"/>
        </w:rPr>
        <w:t>Pembahasan</w:t>
      </w:r>
    </w:p>
    <w:p w:rsidR="00432133" w:rsidRDefault="00432133" w:rsidP="0040272F">
      <w:pPr>
        <w:spacing w:after="0" w:line="360" w:lineRule="auto"/>
        <w:ind w:left="567"/>
        <w:rPr>
          <w:rFonts w:ascii="Times New Roman" w:hAnsi="Times New Roman"/>
          <w:b/>
          <w:bCs/>
          <w:w w:val="105"/>
          <w:szCs w:val="24"/>
          <w:lang w:val="id-ID"/>
        </w:rPr>
      </w:pPr>
    </w:p>
    <w:p w:rsidR="00316BC2" w:rsidRDefault="00432133" w:rsidP="00316BC2">
      <w:pPr>
        <w:pStyle w:val="ListParagraph"/>
        <w:numPr>
          <w:ilvl w:val="0"/>
          <w:numId w:val="9"/>
        </w:numPr>
        <w:spacing w:after="0" w:line="360" w:lineRule="auto"/>
        <w:jc w:val="both"/>
        <w:rPr>
          <w:rFonts w:ascii="Times New Roman" w:hAnsi="Times New Roman"/>
          <w:b/>
          <w:bCs/>
          <w:w w:val="105"/>
          <w:szCs w:val="24"/>
        </w:rPr>
      </w:pPr>
      <w:r>
        <w:rPr>
          <w:rFonts w:ascii="Times New Roman" w:hAnsi="Times New Roman"/>
          <w:b/>
          <w:bCs/>
          <w:w w:val="105"/>
          <w:szCs w:val="24"/>
        </w:rPr>
        <w:t>Profil PTBA dan Peraturan Sektor Industri Pertambanga</w:t>
      </w:r>
    </w:p>
    <w:p w:rsidR="00316BC2" w:rsidRDefault="00D02E03" w:rsidP="00316BC2">
      <w:pPr>
        <w:pStyle w:val="ListParagraph"/>
        <w:spacing w:after="0" w:line="360" w:lineRule="auto"/>
        <w:ind w:left="927" w:firstLine="513"/>
        <w:jc w:val="both"/>
        <w:rPr>
          <w:rFonts w:ascii="Times New Roman" w:hAnsi="Times New Roman"/>
          <w:spacing w:val="20"/>
          <w:sz w:val="24"/>
          <w:szCs w:val="24"/>
        </w:rPr>
      </w:pPr>
      <w:r w:rsidRPr="00316BC2">
        <w:rPr>
          <w:rFonts w:ascii="Times New Roman" w:hAnsi="Times New Roman"/>
          <w:sz w:val="24"/>
          <w:szCs w:val="24"/>
        </w:rPr>
        <w:t xml:space="preserve">PT Bukit Asam memiliki usaha dalam bidang </w:t>
      </w:r>
      <w:r w:rsidRPr="00316BC2">
        <w:rPr>
          <w:rFonts w:ascii="Times New Roman" w:hAnsi="Times New Roman"/>
          <w:spacing w:val="12"/>
          <w:sz w:val="24"/>
          <w:szCs w:val="24"/>
        </w:rPr>
        <w:t xml:space="preserve">Pertambangan, Perdagangan, Pengolahan, </w:t>
      </w:r>
      <w:r w:rsidRPr="00316BC2">
        <w:rPr>
          <w:rFonts w:ascii="Times New Roman" w:hAnsi="Times New Roman"/>
          <w:spacing w:val="8"/>
          <w:sz w:val="24"/>
          <w:szCs w:val="24"/>
        </w:rPr>
        <w:t xml:space="preserve">dan Pemanfaatan Batubara </w:t>
      </w:r>
      <w:r w:rsidRPr="00316BC2">
        <w:rPr>
          <w:rFonts w:ascii="Times New Roman" w:hAnsi="Times New Roman"/>
          <w:sz w:val="24"/>
          <w:szCs w:val="24"/>
        </w:rPr>
        <w:t xml:space="preserve">Sejarah pertambangan batubara di Tanjung Enim dimulai sejak zaman kolonial Belanda tahun </w:t>
      </w:r>
      <w:r w:rsidRPr="00316BC2">
        <w:rPr>
          <w:rFonts w:ascii="Times New Roman" w:hAnsi="Times New Roman"/>
          <w:spacing w:val="10"/>
          <w:sz w:val="24"/>
          <w:szCs w:val="24"/>
        </w:rPr>
        <w:t xml:space="preserve">1919 dengan menggunakan metode penambangan terbuka (open pit mining) di wilayah operasi </w:t>
      </w:r>
      <w:r w:rsidRPr="00316BC2">
        <w:rPr>
          <w:rFonts w:ascii="Times New Roman" w:hAnsi="Times New Roman"/>
          <w:spacing w:val="12"/>
          <w:sz w:val="24"/>
          <w:szCs w:val="24"/>
        </w:rPr>
        <w:t>pertama, yaitu di Tambang Air Laya.</w:t>
      </w:r>
      <w:r w:rsidR="00316BC2">
        <w:rPr>
          <w:rFonts w:ascii="Times New Roman" w:hAnsi="Times New Roman"/>
          <w:spacing w:val="12"/>
          <w:sz w:val="24"/>
          <w:szCs w:val="24"/>
        </w:rPr>
        <w:t xml:space="preserve"> </w:t>
      </w:r>
      <w:r w:rsidRPr="00316BC2">
        <w:rPr>
          <w:rFonts w:ascii="Times New Roman" w:hAnsi="Times New Roman"/>
          <w:sz w:val="24"/>
          <w:szCs w:val="24"/>
        </w:rPr>
        <w:t>Selanjutnya di tahun 1923, dimulai metode penambangan bawah tanah (underground mining) hingga 1940, sedangkan produksi untuk kepentingan komersial dimulai pada 1938.</w:t>
      </w:r>
      <w:r w:rsidRPr="00316BC2">
        <w:rPr>
          <w:rFonts w:ascii="Times New Roman" w:hAnsi="Times New Roman"/>
          <w:spacing w:val="12"/>
          <w:sz w:val="24"/>
          <w:szCs w:val="24"/>
        </w:rPr>
        <w:t xml:space="preserve"> </w:t>
      </w:r>
      <w:r w:rsidRPr="00316BC2">
        <w:rPr>
          <w:rFonts w:ascii="Times New Roman" w:hAnsi="Times New Roman"/>
          <w:spacing w:val="9"/>
          <w:sz w:val="24"/>
          <w:szCs w:val="24"/>
        </w:rPr>
        <w:t xml:space="preserve">Seiring dengan berakhirnya kekuasaan kolonial Belanda di tanah air, para karyawan Indonesia </w:t>
      </w:r>
      <w:r w:rsidRPr="00316BC2">
        <w:rPr>
          <w:rFonts w:ascii="Times New Roman" w:hAnsi="Times New Roman"/>
          <w:spacing w:val="12"/>
          <w:sz w:val="24"/>
          <w:szCs w:val="24"/>
        </w:rPr>
        <w:t xml:space="preserve">kemudian berjuang menuntut perubahan status tambang menjadi </w:t>
      </w:r>
      <w:r w:rsidR="00316BC2">
        <w:rPr>
          <w:rFonts w:ascii="Times New Roman" w:hAnsi="Times New Roman"/>
          <w:spacing w:val="17"/>
          <w:sz w:val="24"/>
          <w:szCs w:val="24"/>
        </w:rPr>
        <w:t xml:space="preserve">pertambangan nasional. Pada 1950, </w:t>
      </w:r>
      <w:r w:rsidRPr="00316BC2">
        <w:rPr>
          <w:rFonts w:ascii="Times New Roman" w:hAnsi="Times New Roman"/>
          <w:spacing w:val="17"/>
          <w:sz w:val="24"/>
          <w:szCs w:val="24"/>
        </w:rPr>
        <w:t xml:space="preserve">Pemerintah RI kemudian </w:t>
      </w:r>
      <w:r w:rsidRPr="00316BC2">
        <w:rPr>
          <w:rFonts w:ascii="Times New Roman" w:hAnsi="Times New Roman"/>
          <w:spacing w:val="14"/>
          <w:sz w:val="24"/>
          <w:szCs w:val="24"/>
        </w:rPr>
        <w:t xml:space="preserve">mengesahkan pembentukan Perusahaan Negara Tambang Arang </w:t>
      </w:r>
      <w:r w:rsidRPr="00316BC2">
        <w:rPr>
          <w:rFonts w:ascii="Times New Roman" w:hAnsi="Times New Roman"/>
          <w:spacing w:val="10"/>
          <w:sz w:val="24"/>
          <w:szCs w:val="24"/>
        </w:rPr>
        <w:t>Bukit Asam (PN TABA).</w:t>
      </w:r>
      <w:r w:rsidRPr="00316BC2">
        <w:rPr>
          <w:rFonts w:ascii="Times New Roman" w:hAnsi="Times New Roman"/>
          <w:spacing w:val="14"/>
          <w:sz w:val="24"/>
          <w:szCs w:val="24"/>
        </w:rPr>
        <w:t xml:space="preserve"> Pada tanggal 1 Maret 1981, PN TABA kemudian berubah status </w:t>
      </w:r>
      <w:r w:rsidRPr="00316BC2">
        <w:rPr>
          <w:rFonts w:ascii="Times New Roman" w:hAnsi="Times New Roman"/>
          <w:sz w:val="24"/>
          <w:szCs w:val="24"/>
        </w:rPr>
        <w:t xml:space="preserve">menjadi Perseroan Terbatas dengan nama PT Tambang Batubara </w:t>
      </w:r>
      <w:r w:rsidR="00316BC2">
        <w:rPr>
          <w:rFonts w:ascii="Times New Roman" w:hAnsi="Times New Roman"/>
          <w:spacing w:val="21"/>
          <w:sz w:val="24"/>
          <w:szCs w:val="24"/>
        </w:rPr>
        <w:t xml:space="preserve">Bukit Asam (Persero), yang </w:t>
      </w:r>
      <w:r w:rsidRPr="00316BC2">
        <w:rPr>
          <w:rFonts w:ascii="Times New Roman" w:hAnsi="Times New Roman"/>
          <w:spacing w:val="21"/>
          <w:sz w:val="24"/>
          <w:szCs w:val="24"/>
        </w:rPr>
        <w:t xml:space="preserve">selanjutnya disebut Perseroan. </w:t>
      </w:r>
      <w:r w:rsidRPr="00316BC2">
        <w:rPr>
          <w:rFonts w:ascii="Times New Roman" w:hAnsi="Times New Roman"/>
          <w:spacing w:val="20"/>
          <w:sz w:val="24"/>
          <w:szCs w:val="24"/>
        </w:rPr>
        <w:t xml:space="preserve">Dalam </w:t>
      </w:r>
      <w:r w:rsidRPr="00316BC2">
        <w:rPr>
          <w:rFonts w:ascii="Times New Roman" w:hAnsi="Times New Roman"/>
          <w:spacing w:val="20"/>
          <w:sz w:val="24"/>
          <w:szCs w:val="24"/>
        </w:rPr>
        <w:lastRenderedPageBreak/>
        <w:t xml:space="preserve">rangka meningkatkan pengembangan industri batubara </w:t>
      </w:r>
      <w:r w:rsidRPr="00316BC2">
        <w:rPr>
          <w:rFonts w:ascii="Times New Roman" w:hAnsi="Times New Roman"/>
          <w:spacing w:val="14"/>
          <w:sz w:val="24"/>
          <w:szCs w:val="24"/>
        </w:rPr>
        <w:t xml:space="preserve">di Indonesia, pada 1990 Pemerintah menetapkan penggabungan </w:t>
      </w:r>
      <w:r w:rsidRPr="00316BC2">
        <w:rPr>
          <w:rFonts w:ascii="Times New Roman" w:hAnsi="Times New Roman"/>
          <w:spacing w:val="10"/>
          <w:sz w:val="24"/>
          <w:szCs w:val="24"/>
        </w:rPr>
        <w:t>Perum Tambang Batubara dengan Perseroan.</w:t>
      </w:r>
      <w:r w:rsidRPr="00316BC2">
        <w:rPr>
          <w:rFonts w:ascii="Times New Roman" w:hAnsi="Times New Roman"/>
          <w:noProof/>
          <w:sz w:val="24"/>
          <w:szCs w:val="24"/>
        </w:rPr>
        <w:t xml:space="preserve"> </w:t>
      </w:r>
      <w:r w:rsidR="00F10A19">
        <w:rPr>
          <w:rFonts w:asciiTheme="majorHAnsi" w:hAnsiTheme="majorHAnsi"/>
          <w:noProof/>
          <w:sz w:val="28"/>
          <w:szCs w:val="28"/>
        </w:rPr>
        <w:pict>
          <v:shapetype id="_x0000_t202" coordsize="21600,21600" o:spt="202" path="m,l,21600r21600,l21600,xe">
            <v:stroke joinstyle="miter"/>
            <v:path gradientshapeok="t" o:connecttype="rect"/>
          </v:shapetype>
          <v:shape id="_x0000_s1036" type="#_x0000_t202" style="position:absolute;left:0;text-align:left;margin-left:579.05pt;margin-top:3.7pt;width:.25pt;height:839pt;z-index:251672576;mso-wrap-edited:f;mso-wrap-distance-left:0;mso-wrap-distance-right:0;mso-position-horizontal-relative:page;mso-position-vertical-relative:page" wrapcoords="-62 0 -62 21600 21662 21600 21662 0 -62 0" o:allowincell="f" stroked="f">
            <v:fill opacity="0"/>
            <v:textbox inset="0,0,0,0">
              <w:txbxContent>
                <w:p w:rsidR="00A85BA0" w:rsidRDefault="00A85BA0" w:rsidP="00D02E03">
                  <w:pPr>
                    <w:spacing w:line="16780" w:lineRule="atLeast"/>
                    <w:jc w:val="center"/>
                  </w:pPr>
                  <w:r>
                    <w:rPr>
                      <w:noProof/>
                    </w:rPr>
                    <w:drawing>
                      <wp:inline distT="0" distB="0" distL="0" distR="0">
                        <wp:extent cx="9525" cy="10658475"/>
                        <wp:effectExtent l="19050" t="0" r="9525" b="0"/>
                        <wp:docPr id="7" name="Picture 4" descr="_Pic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1089"/>
                                <pic:cNvPicPr>
                                  <a:picLocks noChangeAspect="1" noChangeArrowheads="1"/>
                                </pic:cNvPicPr>
                              </pic:nvPicPr>
                              <pic:blipFill>
                                <a:blip r:embed="rId8"/>
                                <a:srcRect/>
                                <a:stretch>
                                  <a:fillRect/>
                                </a:stretch>
                              </pic:blipFill>
                              <pic:spPr bwMode="auto">
                                <a:xfrm>
                                  <a:off x="0" y="0"/>
                                  <a:ext cx="9525" cy="10658475"/>
                                </a:xfrm>
                                <a:prstGeom prst="rect">
                                  <a:avLst/>
                                </a:prstGeom>
                                <a:noFill/>
                                <a:ln w="9525">
                                  <a:noFill/>
                                  <a:miter lim="800000"/>
                                  <a:headEnd/>
                                  <a:tailEnd/>
                                </a:ln>
                              </pic:spPr>
                            </pic:pic>
                          </a:graphicData>
                        </a:graphic>
                      </wp:inline>
                    </w:drawing>
                  </w:r>
                </w:p>
              </w:txbxContent>
            </v:textbox>
            <w10:wrap type="square" anchorx="page" anchory="page"/>
          </v:shape>
        </w:pict>
      </w:r>
      <w:r w:rsidRPr="00316BC2">
        <w:rPr>
          <w:rFonts w:ascii="Times New Roman" w:hAnsi="Times New Roman"/>
          <w:sz w:val="24"/>
          <w:szCs w:val="24"/>
        </w:rPr>
        <w:t xml:space="preserve">Sesuai dengan program pengembangan ketahanan energi nasional, pada 1993 Pemerintah </w:t>
      </w:r>
      <w:r w:rsidRPr="00316BC2">
        <w:rPr>
          <w:rFonts w:ascii="Times New Roman" w:hAnsi="Times New Roman"/>
          <w:spacing w:val="20"/>
          <w:sz w:val="24"/>
          <w:szCs w:val="24"/>
        </w:rPr>
        <w:t>menugaskan Perseroan untuk mengembangkan usaha briket batubara.</w:t>
      </w:r>
    </w:p>
    <w:p w:rsidR="00D02E03" w:rsidRPr="004F1E1A" w:rsidRDefault="00D02E03" w:rsidP="00316BC2">
      <w:pPr>
        <w:pStyle w:val="ListParagraph"/>
        <w:spacing w:after="0" w:line="360" w:lineRule="auto"/>
        <w:ind w:left="927" w:firstLine="360"/>
        <w:jc w:val="both"/>
        <w:rPr>
          <w:rFonts w:ascii="Times New Roman" w:hAnsi="Times New Roman"/>
          <w:b/>
          <w:bCs/>
          <w:w w:val="105"/>
          <w:szCs w:val="24"/>
        </w:rPr>
      </w:pPr>
      <w:r w:rsidRPr="00D02E03">
        <w:rPr>
          <w:rFonts w:ascii="Times New Roman" w:hAnsi="Times New Roman"/>
          <w:spacing w:val="11"/>
          <w:sz w:val="24"/>
          <w:szCs w:val="24"/>
        </w:rPr>
        <w:t xml:space="preserve">Sesuai Anggaran Dasar Perseroan Pasal 3, Perseroan berusaha dalam bidang pengembangan </w:t>
      </w:r>
      <w:r w:rsidRPr="00D02E03">
        <w:rPr>
          <w:rFonts w:ascii="Times New Roman" w:hAnsi="Times New Roman"/>
          <w:spacing w:val="18"/>
          <w:sz w:val="24"/>
          <w:szCs w:val="24"/>
        </w:rPr>
        <w:t xml:space="preserve">bahan-bahan galian, terutama pertambangan batubara sesuai dengan ketentuan dalam </w:t>
      </w:r>
      <w:r w:rsidRPr="00D02E03">
        <w:rPr>
          <w:rFonts w:ascii="Times New Roman" w:hAnsi="Times New Roman"/>
          <w:sz w:val="24"/>
          <w:szCs w:val="24"/>
        </w:rPr>
        <w:t xml:space="preserve">peraturan perundang-undangan </w:t>
      </w:r>
      <w:r w:rsidRPr="004F1E1A">
        <w:rPr>
          <w:rFonts w:ascii="Times New Roman" w:hAnsi="Times New Roman"/>
          <w:sz w:val="24"/>
          <w:szCs w:val="24"/>
        </w:rPr>
        <w:t xml:space="preserve">yang berlaku dengan menerapkan prinsip-prinsip Perseroan </w:t>
      </w:r>
      <w:r w:rsidRPr="004F1E1A">
        <w:rPr>
          <w:rFonts w:ascii="Times New Roman" w:hAnsi="Times New Roman"/>
          <w:spacing w:val="8"/>
          <w:sz w:val="24"/>
          <w:szCs w:val="24"/>
        </w:rPr>
        <w:t xml:space="preserve">Terbatas. </w:t>
      </w:r>
      <w:r w:rsidRPr="004F1E1A">
        <w:rPr>
          <w:rFonts w:ascii="Times New Roman" w:hAnsi="Times New Roman"/>
          <w:spacing w:val="12"/>
          <w:sz w:val="24"/>
          <w:szCs w:val="24"/>
        </w:rPr>
        <w:t>Perseroan melaksanakan kegiatan usaha sebagai berikut:</w:t>
      </w:r>
    </w:p>
    <w:p w:rsidR="00D02E03" w:rsidRPr="004F1E1A" w:rsidRDefault="00D02E03" w:rsidP="00316BC2">
      <w:pPr>
        <w:pStyle w:val="ListParagraph"/>
        <w:numPr>
          <w:ilvl w:val="0"/>
          <w:numId w:val="11"/>
        </w:numPr>
        <w:spacing w:after="0" w:line="360" w:lineRule="auto"/>
        <w:jc w:val="both"/>
        <w:rPr>
          <w:rFonts w:ascii="Times New Roman" w:hAnsi="Times New Roman"/>
          <w:b/>
          <w:bCs/>
          <w:w w:val="105"/>
          <w:szCs w:val="24"/>
        </w:rPr>
      </w:pPr>
      <w:r w:rsidRPr="004F1E1A">
        <w:rPr>
          <w:rFonts w:ascii="Times New Roman" w:hAnsi="Times New Roman"/>
          <w:spacing w:val="10"/>
          <w:sz w:val="24"/>
          <w:szCs w:val="24"/>
        </w:rPr>
        <w:t xml:space="preserve">Mengusahakan pertambangan yang meliputi penyelidikan umum, eksplorasi, eksploitasi, </w:t>
      </w:r>
      <w:r w:rsidRPr="004F1E1A">
        <w:rPr>
          <w:rFonts w:ascii="Times New Roman" w:hAnsi="Times New Roman"/>
          <w:spacing w:val="12"/>
          <w:sz w:val="24"/>
          <w:szCs w:val="24"/>
        </w:rPr>
        <w:t>pengolahan, pemurnian, pengangkutan dan perdagangan bahan-bahan galian terutama batubara.</w:t>
      </w:r>
    </w:p>
    <w:p w:rsidR="00D02E03" w:rsidRPr="004F1E1A" w:rsidRDefault="00D02E03" w:rsidP="00316BC2">
      <w:pPr>
        <w:pStyle w:val="ListParagraph"/>
        <w:numPr>
          <w:ilvl w:val="0"/>
          <w:numId w:val="11"/>
        </w:numPr>
        <w:spacing w:after="0" w:line="360" w:lineRule="auto"/>
        <w:jc w:val="both"/>
        <w:rPr>
          <w:rFonts w:ascii="Times New Roman" w:hAnsi="Times New Roman"/>
          <w:b/>
          <w:bCs/>
          <w:w w:val="105"/>
          <w:szCs w:val="24"/>
        </w:rPr>
      </w:pPr>
      <w:r w:rsidRPr="004F1E1A">
        <w:rPr>
          <w:rFonts w:ascii="Times New Roman" w:hAnsi="Times New Roman"/>
          <w:spacing w:val="11"/>
          <w:sz w:val="24"/>
          <w:szCs w:val="24"/>
        </w:rPr>
        <w:t xml:space="preserve">Mengusahakan pengolahan lebih lanjut atas hasil produksi bahan-bahan galian terutama </w:t>
      </w:r>
      <w:r w:rsidRPr="004F1E1A">
        <w:rPr>
          <w:rFonts w:ascii="Times New Roman" w:hAnsi="Times New Roman"/>
          <w:spacing w:val="12"/>
          <w:sz w:val="24"/>
          <w:szCs w:val="24"/>
        </w:rPr>
        <w:t>batubara.</w:t>
      </w:r>
    </w:p>
    <w:p w:rsidR="00D02E03" w:rsidRPr="004F1E1A" w:rsidRDefault="00D02E03" w:rsidP="00316BC2">
      <w:pPr>
        <w:pStyle w:val="ListParagraph"/>
        <w:numPr>
          <w:ilvl w:val="0"/>
          <w:numId w:val="11"/>
        </w:numPr>
        <w:spacing w:after="0" w:line="360" w:lineRule="auto"/>
        <w:jc w:val="both"/>
        <w:rPr>
          <w:rFonts w:ascii="Times New Roman" w:hAnsi="Times New Roman"/>
          <w:b/>
          <w:bCs/>
          <w:w w:val="105"/>
          <w:szCs w:val="24"/>
        </w:rPr>
      </w:pPr>
      <w:r w:rsidRPr="004F1E1A">
        <w:rPr>
          <w:rFonts w:ascii="Times New Roman" w:hAnsi="Times New Roman"/>
          <w:sz w:val="24"/>
          <w:szCs w:val="24"/>
        </w:rPr>
        <w:t xml:space="preserve">Memperdagangkan hasil produksi sehubungan dengan usaha di atas, baik hasil sendiri </w:t>
      </w:r>
      <w:r w:rsidRPr="004F1E1A">
        <w:rPr>
          <w:rFonts w:ascii="Times New Roman" w:hAnsi="Times New Roman"/>
          <w:spacing w:val="18"/>
          <w:sz w:val="24"/>
          <w:szCs w:val="24"/>
        </w:rPr>
        <w:t>maupun hasil produksi pihak lain, baik di dalam maupun luar negeri.</w:t>
      </w:r>
      <w:r w:rsidRPr="004F1E1A">
        <w:rPr>
          <w:rFonts w:ascii="Times New Roman" w:hAnsi="Times New Roman"/>
          <w:spacing w:val="9"/>
          <w:sz w:val="24"/>
          <w:szCs w:val="24"/>
        </w:rPr>
        <w:t xml:space="preserve"> Mengusahakan dan mengoperasikan pelabuhan dan dermaga khusus batubara, baik untuk </w:t>
      </w:r>
      <w:r w:rsidRPr="004F1E1A">
        <w:rPr>
          <w:rFonts w:ascii="Times New Roman" w:hAnsi="Times New Roman"/>
          <w:spacing w:val="12"/>
          <w:sz w:val="24"/>
          <w:szCs w:val="24"/>
        </w:rPr>
        <w:t xml:space="preserve">keperluan sendiri maupun keperluan pihak lain. Mengusahakan dan mengoperasikan pembangkit listrik tenaga uap, baik untuk keperluan </w:t>
      </w:r>
      <w:r w:rsidRPr="004F1E1A">
        <w:rPr>
          <w:rFonts w:ascii="Times New Roman" w:hAnsi="Times New Roman"/>
          <w:sz w:val="24"/>
          <w:szCs w:val="24"/>
        </w:rPr>
        <w:t>sendiri maupun untuk keperluan pihak lain.</w:t>
      </w:r>
    </w:p>
    <w:p w:rsidR="001E7F22" w:rsidRPr="004F1E1A" w:rsidRDefault="00D02E03" w:rsidP="004F1E1A">
      <w:pPr>
        <w:pStyle w:val="ListParagraph"/>
        <w:numPr>
          <w:ilvl w:val="0"/>
          <w:numId w:val="11"/>
        </w:numPr>
        <w:spacing w:after="0" w:line="360" w:lineRule="auto"/>
        <w:jc w:val="both"/>
        <w:rPr>
          <w:rFonts w:ascii="Times New Roman" w:hAnsi="Times New Roman"/>
          <w:spacing w:val="18"/>
          <w:sz w:val="24"/>
          <w:szCs w:val="24"/>
        </w:rPr>
      </w:pPr>
      <w:r w:rsidRPr="004F1E1A">
        <w:rPr>
          <w:rFonts w:ascii="Times New Roman" w:hAnsi="Times New Roman"/>
          <w:spacing w:val="18"/>
          <w:sz w:val="24"/>
          <w:szCs w:val="24"/>
        </w:rPr>
        <w:t xml:space="preserve">Memberikan jasa-jasa konsultasi dan rekayasa dalam bidang yang terkait dengan </w:t>
      </w:r>
      <w:r w:rsidRPr="004F1E1A">
        <w:rPr>
          <w:rFonts w:ascii="Times New Roman" w:hAnsi="Times New Roman"/>
          <w:sz w:val="24"/>
          <w:szCs w:val="24"/>
        </w:rPr>
        <w:t>pertambangan batubara beserta hasil-hasil olahannya.</w:t>
      </w:r>
    </w:p>
    <w:p w:rsidR="001E7F22" w:rsidRPr="004F1E1A" w:rsidRDefault="001E7F22" w:rsidP="004F1E1A">
      <w:pPr>
        <w:pStyle w:val="ListParagraph"/>
        <w:spacing w:after="0" w:line="360" w:lineRule="auto"/>
        <w:ind w:left="1287"/>
        <w:jc w:val="both"/>
        <w:rPr>
          <w:rFonts w:ascii="Times New Roman" w:hAnsi="Times New Roman"/>
          <w:spacing w:val="18"/>
          <w:sz w:val="24"/>
          <w:szCs w:val="24"/>
        </w:rPr>
      </w:pPr>
    </w:p>
    <w:p w:rsidR="00A85BA0" w:rsidRPr="004F1E1A" w:rsidRDefault="001E7F22" w:rsidP="004F1E1A">
      <w:pPr>
        <w:pStyle w:val="ListParagraph"/>
        <w:spacing w:after="0" w:line="360" w:lineRule="auto"/>
        <w:ind w:left="426" w:firstLine="720"/>
        <w:jc w:val="both"/>
        <w:rPr>
          <w:rFonts w:ascii="Times New Roman" w:hAnsi="Times New Roman"/>
          <w:spacing w:val="18"/>
          <w:sz w:val="24"/>
          <w:szCs w:val="24"/>
        </w:rPr>
      </w:pPr>
      <w:r w:rsidRPr="004F1E1A">
        <w:rPr>
          <w:rFonts w:ascii="Times New Roman" w:hAnsi="Times New Roman"/>
          <w:b/>
          <w:sz w:val="24"/>
          <w:szCs w:val="24"/>
        </w:rPr>
        <w:t xml:space="preserve"> </w:t>
      </w:r>
      <w:r w:rsidR="00D02E03" w:rsidRPr="004F1E1A">
        <w:rPr>
          <w:rFonts w:ascii="Times New Roman" w:hAnsi="Times New Roman"/>
          <w:sz w:val="24"/>
          <w:szCs w:val="24"/>
        </w:rPr>
        <w:t xml:space="preserve">Kepemilikan dimiliki oleh </w:t>
      </w:r>
      <w:r w:rsidR="00D02E03" w:rsidRPr="004F1E1A">
        <w:rPr>
          <w:rFonts w:ascii="Times New Roman" w:hAnsi="Times New Roman"/>
          <w:spacing w:val="18"/>
          <w:sz w:val="24"/>
          <w:szCs w:val="24"/>
        </w:rPr>
        <w:t xml:space="preserve">Pemerintah Indonesia sebesar 65,02% dan dimiliki oleh </w:t>
      </w:r>
      <w:r w:rsidR="00D02E03" w:rsidRPr="004F1E1A">
        <w:rPr>
          <w:rFonts w:ascii="Times New Roman" w:hAnsi="Times New Roman"/>
          <w:spacing w:val="10"/>
          <w:sz w:val="24"/>
          <w:szCs w:val="24"/>
        </w:rPr>
        <w:t xml:space="preserve">Publik sebesar 34,98%. </w:t>
      </w:r>
      <w:r w:rsidR="00D02E03" w:rsidRPr="004F1E1A">
        <w:rPr>
          <w:rFonts w:ascii="Times New Roman" w:hAnsi="Times New Roman"/>
          <w:spacing w:val="18"/>
          <w:sz w:val="24"/>
          <w:szCs w:val="24"/>
        </w:rPr>
        <w:t xml:space="preserve"> </w:t>
      </w:r>
      <w:r w:rsidR="00D02E03" w:rsidRPr="004F1E1A">
        <w:rPr>
          <w:rFonts w:ascii="Times New Roman" w:hAnsi="Times New Roman"/>
          <w:spacing w:val="16"/>
          <w:sz w:val="24"/>
          <w:szCs w:val="24"/>
        </w:rPr>
        <w:t xml:space="preserve">Tanggal Pendirian yaitu tanggal 2 Maret 1981, dengan </w:t>
      </w:r>
      <w:r w:rsidR="00D02E03" w:rsidRPr="004F1E1A">
        <w:rPr>
          <w:rFonts w:ascii="Times New Roman" w:hAnsi="Times New Roman"/>
          <w:sz w:val="24"/>
          <w:szCs w:val="24"/>
        </w:rPr>
        <w:t>dasar huku</w:t>
      </w:r>
      <w:r w:rsidRPr="004F1E1A">
        <w:rPr>
          <w:rFonts w:ascii="Times New Roman" w:hAnsi="Times New Roman"/>
          <w:sz w:val="24"/>
          <w:szCs w:val="24"/>
        </w:rPr>
        <w:t xml:space="preserve"> </w:t>
      </w:r>
      <w:r w:rsidR="00D02E03" w:rsidRPr="004F1E1A">
        <w:rPr>
          <w:rFonts w:ascii="Times New Roman" w:hAnsi="Times New Roman"/>
          <w:spacing w:val="14"/>
          <w:sz w:val="24"/>
          <w:szCs w:val="24"/>
        </w:rPr>
        <w:t>adalah Peraturan Pemerintah No. 42 tahun 1980</w:t>
      </w:r>
      <w:r w:rsidR="00D02E03" w:rsidRPr="004F1E1A">
        <w:rPr>
          <w:rFonts w:ascii="Times New Roman" w:hAnsi="Times New Roman"/>
          <w:spacing w:val="18"/>
          <w:sz w:val="24"/>
          <w:szCs w:val="24"/>
        </w:rPr>
        <w:t xml:space="preserve">. </w:t>
      </w:r>
      <w:r w:rsidR="00D02E03" w:rsidRPr="004F1E1A">
        <w:rPr>
          <w:rFonts w:ascii="Times New Roman" w:hAnsi="Times New Roman"/>
          <w:sz w:val="24"/>
          <w:szCs w:val="24"/>
        </w:rPr>
        <w:t>Modal Dasar sebesar</w:t>
      </w:r>
      <w:r w:rsidR="00D02E03" w:rsidRPr="004F1E1A">
        <w:rPr>
          <w:rFonts w:ascii="Times New Roman" w:hAnsi="Times New Roman"/>
          <w:spacing w:val="18"/>
          <w:sz w:val="24"/>
          <w:szCs w:val="24"/>
        </w:rPr>
        <w:t xml:space="preserve"> Rp4.000 miliar.</w:t>
      </w:r>
      <w:r w:rsidR="00A85BA0" w:rsidRPr="004F1E1A">
        <w:rPr>
          <w:rFonts w:ascii="Times New Roman" w:hAnsi="Times New Roman"/>
          <w:spacing w:val="18"/>
          <w:sz w:val="24"/>
          <w:szCs w:val="24"/>
        </w:rPr>
        <w:t xml:space="preserve"> Bagi pemerintah yang </w:t>
      </w:r>
      <w:r w:rsidR="00A85BA0" w:rsidRPr="004F1E1A">
        <w:rPr>
          <w:rFonts w:ascii="Times New Roman" w:hAnsi="Times New Roman"/>
          <w:spacing w:val="18"/>
          <w:sz w:val="24"/>
          <w:szCs w:val="24"/>
        </w:rPr>
        <w:lastRenderedPageBreak/>
        <w:t>memegang jumlah kepemilikan saham yang paling besar memiliki tujuan sesuai dengan peraturan pemerintah dalam hal mengatur penge</w:t>
      </w:r>
      <w:r w:rsidR="00A85BA0" w:rsidRPr="004F1E1A">
        <w:rPr>
          <w:rFonts w:ascii="Times New Roman" w:hAnsi="Times New Roman"/>
          <w:sz w:val="24"/>
          <w:szCs w:val="24"/>
        </w:rPr>
        <w:t xml:space="preserve">lolaan mineral yaitu: </w:t>
      </w:r>
    </w:p>
    <w:p w:rsidR="00A85BA0" w:rsidRPr="004F1E1A" w:rsidRDefault="00A85BA0" w:rsidP="004F1E1A">
      <w:pPr>
        <w:autoSpaceDE w:val="0"/>
        <w:autoSpaceDN w:val="0"/>
        <w:adjustRightInd w:val="0"/>
        <w:spacing w:after="120" w:line="360" w:lineRule="auto"/>
        <w:ind w:left="567" w:hanging="567"/>
        <w:jc w:val="both"/>
        <w:rPr>
          <w:rFonts w:ascii="Times New Roman" w:hAnsi="Times New Roman"/>
          <w:szCs w:val="24"/>
        </w:rPr>
      </w:pPr>
      <w:proofErr w:type="gramStart"/>
      <w:r w:rsidRPr="004F1E1A">
        <w:rPr>
          <w:rFonts w:ascii="Times New Roman" w:hAnsi="Times New Roman"/>
          <w:szCs w:val="24"/>
        </w:rPr>
        <w:t>a</w:t>
      </w:r>
      <w:proofErr w:type="gramEnd"/>
      <w:r w:rsidRPr="004F1E1A">
        <w:rPr>
          <w:rFonts w:ascii="Times New Roman" w:hAnsi="Times New Roman"/>
          <w:szCs w:val="24"/>
        </w:rPr>
        <w:t xml:space="preserve">. </w:t>
      </w:r>
      <w:r w:rsidRPr="004F1E1A">
        <w:rPr>
          <w:rFonts w:ascii="Times New Roman" w:hAnsi="Times New Roman"/>
          <w:szCs w:val="24"/>
        </w:rPr>
        <w:tab/>
        <w:t>menjamin efektivitas pelaksanaan dan pengendalian kegiatan usaha</w:t>
      </w:r>
      <w:r w:rsidRPr="004F1E1A">
        <w:rPr>
          <w:rFonts w:ascii="Times New Roman" w:hAnsi="Times New Roman"/>
          <w:szCs w:val="24"/>
          <w:lang w:val="id-ID"/>
        </w:rPr>
        <w:t xml:space="preserve"> </w:t>
      </w:r>
      <w:r w:rsidRPr="004F1E1A">
        <w:rPr>
          <w:rFonts w:ascii="Times New Roman" w:hAnsi="Times New Roman"/>
          <w:szCs w:val="24"/>
        </w:rPr>
        <w:t>pertambangan secara berdaya guna, berhasil guna, dan berdaya saing;</w:t>
      </w:r>
    </w:p>
    <w:p w:rsidR="00A85BA0" w:rsidRPr="004F1E1A" w:rsidRDefault="00A85BA0" w:rsidP="004F1E1A">
      <w:pPr>
        <w:autoSpaceDE w:val="0"/>
        <w:autoSpaceDN w:val="0"/>
        <w:adjustRightInd w:val="0"/>
        <w:spacing w:after="120" w:line="360" w:lineRule="auto"/>
        <w:ind w:left="567" w:hanging="567"/>
        <w:jc w:val="both"/>
        <w:rPr>
          <w:rFonts w:ascii="Times New Roman" w:hAnsi="Times New Roman"/>
          <w:szCs w:val="24"/>
        </w:rPr>
      </w:pPr>
      <w:proofErr w:type="gramStart"/>
      <w:r w:rsidRPr="004F1E1A">
        <w:rPr>
          <w:rFonts w:ascii="Times New Roman" w:hAnsi="Times New Roman"/>
          <w:szCs w:val="24"/>
        </w:rPr>
        <w:t>b</w:t>
      </w:r>
      <w:proofErr w:type="gramEnd"/>
      <w:r w:rsidRPr="004F1E1A">
        <w:rPr>
          <w:rFonts w:ascii="Times New Roman" w:hAnsi="Times New Roman"/>
          <w:szCs w:val="24"/>
        </w:rPr>
        <w:t>.</w:t>
      </w:r>
      <w:r w:rsidRPr="004F1E1A">
        <w:rPr>
          <w:rFonts w:ascii="Times New Roman" w:hAnsi="Times New Roman"/>
          <w:szCs w:val="24"/>
        </w:rPr>
        <w:tab/>
        <w:t>menjamin manfaat pertambangan mineral  secara berkelanjutan</w:t>
      </w:r>
      <w:r w:rsidRPr="004F1E1A">
        <w:rPr>
          <w:rFonts w:ascii="Times New Roman" w:hAnsi="Times New Roman"/>
          <w:szCs w:val="24"/>
          <w:lang w:val="id-ID"/>
        </w:rPr>
        <w:t xml:space="preserve"> </w:t>
      </w:r>
      <w:r w:rsidRPr="004F1E1A">
        <w:rPr>
          <w:rFonts w:ascii="Times New Roman" w:hAnsi="Times New Roman"/>
          <w:szCs w:val="24"/>
        </w:rPr>
        <w:t>dan berwawasan lingkungan hidup;</w:t>
      </w:r>
    </w:p>
    <w:p w:rsidR="00A85BA0" w:rsidRPr="004F1E1A" w:rsidRDefault="00A85BA0" w:rsidP="004F1E1A">
      <w:pPr>
        <w:autoSpaceDE w:val="0"/>
        <w:autoSpaceDN w:val="0"/>
        <w:adjustRightInd w:val="0"/>
        <w:spacing w:after="120" w:line="360" w:lineRule="auto"/>
        <w:ind w:left="567" w:hanging="567"/>
        <w:jc w:val="both"/>
        <w:rPr>
          <w:rFonts w:ascii="Times New Roman" w:hAnsi="Times New Roman"/>
          <w:szCs w:val="24"/>
        </w:rPr>
      </w:pPr>
      <w:proofErr w:type="gramStart"/>
      <w:r w:rsidRPr="004F1E1A">
        <w:rPr>
          <w:rFonts w:ascii="Times New Roman" w:hAnsi="Times New Roman"/>
          <w:szCs w:val="24"/>
        </w:rPr>
        <w:t>c</w:t>
      </w:r>
      <w:proofErr w:type="gramEnd"/>
      <w:r w:rsidRPr="004F1E1A">
        <w:rPr>
          <w:rFonts w:ascii="Times New Roman" w:hAnsi="Times New Roman"/>
          <w:szCs w:val="24"/>
        </w:rPr>
        <w:t>.</w:t>
      </w:r>
      <w:r w:rsidRPr="004F1E1A">
        <w:rPr>
          <w:rFonts w:ascii="Times New Roman" w:hAnsi="Times New Roman"/>
          <w:szCs w:val="24"/>
        </w:rPr>
        <w:tab/>
        <w:t>menjamin tersedianya mineral  sebagai bahan baku untuk kebutuhan dalam negeri;</w:t>
      </w:r>
    </w:p>
    <w:p w:rsidR="00A85BA0" w:rsidRPr="004F1E1A" w:rsidRDefault="00A85BA0" w:rsidP="004F1E1A">
      <w:pPr>
        <w:autoSpaceDE w:val="0"/>
        <w:autoSpaceDN w:val="0"/>
        <w:adjustRightInd w:val="0"/>
        <w:spacing w:after="120" w:line="360" w:lineRule="auto"/>
        <w:ind w:left="567" w:hanging="567"/>
        <w:jc w:val="both"/>
        <w:rPr>
          <w:rFonts w:ascii="Times New Roman" w:hAnsi="Times New Roman"/>
          <w:szCs w:val="24"/>
        </w:rPr>
      </w:pPr>
      <w:proofErr w:type="gramStart"/>
      <w:r w:rsidRPr="004F1E1A">
        <w:rPr>
          <w:rFonts w:ascii="Times New Roman" w:hAnsi="Times New Roman"/>
          <w:szCs w:val="24"/>
        </w:rPr>
        <w:t>d</w:t>
      </w:r>
      <w:proofErr w:type="gramEnd"/>
      <w:r w:rsidRPr="004F1E1A">
        <w:rPr>
          <w:rFonts w:ascii="Times New Roman" w:hAnsi="Times New Roman"/>
          <w:szCs w:val="24"/>
        </w:rPr>
        <w:t>.</w:t>
      </w:r>
      <w:r w:rsidRPr="004F1E1A">
        <w:rPr>
          <w:rFonts w:ascii="Times New Roman" w:hAnsi="Times New Roman"/>
          <w:szCs w:val="24"/>
        </w:rPr>
        <w:tab/>
        <w:t>mendukung dan menumbuhkembangkan kemampuan nasional agar lebih</w:t>
      </w:r>
      <w:r w:rsidRPr="004F1E1A">
        <w:rPr>
          <w:rFonts w:ascii="Times New Roman" w:hAnsi="Times New Roman"/>
          <w:szCs w:val="24"/>
          <w:lang w:val="id-ID"/>
        </w:rPr>
        <w:t xml:space="preserve"> </w:t>
      </w:r>
      <w:r w:rsidRPr="004F1E1A">
        <w:rPr>
          <w:rFonts w:ascii="Times New Roman" w:hAnsi="Times New Roman"/>
          <w:szCs w:val="24"/>
        </w:rPr>
        <w:t>mampu bersaing di tingkat nasional, regional, dan internasional;</w:t>
      </w:r>
    </w:p>
    <w:p w:rsidR="00A85BA0" w:rsidRPr="004F1E1A" w:rsidRDefault="00A85BA0" w:rsidP="004F1E1A">
      <w:pPr>
        <w:autoSpaceDE w:val="0"/>
        <w:autoSpaceDN w:val="0"/>
        <w:adjustRightInd w:val="0"/>
        <w:spacing w:after="120" w:line="360" w:lineRule="auto"/>
        <w:ind w:left="567" w:hanging="567"/>
        <w:jc w:val="both"/>
        <w:rPr>
          <w:rFonts w:ascii="Times New Roman" w:hAnsi="Times New Roman"/>
          <w:szCs w:val="24"/>
        </w:rPr>
      </w:pPr>
      <w:proofErr w:type="gramStart"/>
      <w:r w:rsidRPr="004F1E1A">
        <w:rPr>
          <w:rFonts w:ascii="Times New Roman" w:hAnsi="Times New Roman"/>
          <w:szCs w:val="24"/>
        </w:rPr>
        <w:t>e</w:t>
      </w:r>
      <w:proofErr w:type="gramEnd"/>
      <w:r w:rsidRPr="004F1E1A">
        <w:rPr>
          <w:rFonts w:ascii="Times New Roman" w:hAnsi="Times New Roman"/>
          <w:szCs w:val="24"/>
        </w:rPr>
        <w:t xml:space="preserve">. </w:t>
      </w:r>
      <w:r w:rsidRPr="004F1E1A">
        <w:rPr>
          <w:rFonts w:ascii="Times New Roman" w:hAnsi="Times New Roman"/>
          <w:szCs w:val="24"/>
        </w:rPr>
        <w:tab/>
        <w:t>meningkatkan pendapatan masyarakat lokal, daerah, dan negara, serta</w:t>
      </w:r>
      <w:r w:rsidRPr="004F1E1A">
        <w:rPr>
          <w:rFonts w:ascii="Times New Roman" w:hAnsi="Times New Roman"/>
          <w:szCs w:val="24"/>
          <w:lang w:val="id-ID"/>
        </w:rPr>
        <w:t xml:space="preserve"> </w:t>
      </w:r>
      <w:r w:rsidRPr="004F1E1A">
        <w:rPr>
          <w:rFonts w:ascii="Times New Roman" w:hAnsi="Times New Roman"/>
          <w:szCs w:val="24"/>
        </w:rPr>
        <w:t>menciptakan lapangan kerja untuk sebesar-besar kesejahteraan rakyat; dan</w:t>
      </w:r>
    </w:p>
    <w:p w:rsidR="00A85BA0" w:rsidRPr="004F1E1A" w:rsidRDefault="00A85BA0" w:rsidP="004F1E1A">
      <w:pPr>
        <w:autoSpaceDE w:val="0"/>
        <w:autoSpaceDN w:val="0"/>
        <w:adjustRightInd w:val="0"/>
        <w:spacing w:after="480" w:line="360" w:lineRule="auto"/>
        <w:ind w:left="567" w:hanging="567"/>
        <w:jc w:val="both"/>
        <w:rPr>
          <w:rFonts w:ascii="Times New Roman" w:hAnsi="Times New Roman"/>
          <w:szCs w:val="24"/>
          <w:lang w:val="id-ID"/>
        </w:rPr>
      </w:pPr>
      <w:proofErr w:type="gramStart"/>
      <w:r w:rsidRPr="004F1E1A">
        <w:rPr>
          <w:rFonts w:ascii="Times New Roman" w:hAnsi="Times New Roman"/>
          <w:szCs w:val="24"/>
        </w:rPr>
        <w:t>f</w:t>
      </w:r>
      <w:proofErr w:type="gramEnd"/>
      <w:r w:rsidRPr="004F1E1A">
        <w:rPr>
          <w:rFonts w:ascii="Times New Roman" w:hAnsi="Times New Roman"/>
          <w:szCs w:val="24"/>
        </w:rPr>
        <w:t>.</w:t>
      </w:r>
      <w:r w:rsidRPr="004F1E1A">
        <w:rPr>
          <w:rFonts w:ascii="Times New Roman" w:hAnsi="Times New Roman"/>
          <w:szCs w:val="24"/>
        </w:rPr>
        <w:tab/>
        <w:t>menjamin kepastian hukum dalam penyelenggaraan kegiatan usaha</w:t>
      </w:r>
      <w:r w:rsidRPr="004F1E1A">
        <w:rPr>
          <w:rFonts w:ascii="Times New Roman" w:hAnsi="Times New Roman"/>
          <w:szCs w:val="24"/>
          <w:lang w:val="id-ID"/>
        </w:rPr>
        <w:t xml:space="preserve"> </w:t>
      </w:r>
      <w:r w:rsidRPr="004F1E1A">
        <w:rPr>
          <w:rFonts w:ascii="Times New Roman" w:hAnsi="Times New Roman"/>
          <w:szCs w:val="24"/>
        </w:rPr>
        <w:t>pertambangan mineral.</w:t>
      </w:r>
    </w:p>
    <w:p w:rsidR="001E7F22" w:rsidRPr="00A85BA0" w:rsidRDefault="00D02E03" w:rsidP="004F1E1A">
      <w:pPr>
        <w:autoSpaceDE w:val="0"/>
        <w:autoSpaceDN w:val="0"/>
        <w:adjustRightInd w:val="0"/>
        <w:spacing w:after="0" w:line="360" w:lineRule="auto"/>
        <w:ind w:left="720" w:firstLine="720"/>
        <w:jc w:val="both"/>
        <w:rPr>
          <w:rFonts w:ascii="Bookman Old Style" w:hAnsi="Bookman Old Style"/>
          <w:szCs w:val="24"/>
        </w:rPr>
      </w:pPr>
      <w:r w:rsidRPr="004F1E1A">
        <w:rPr>
          <w:rFonts w:ascii="Times New Roman" w:hAnsi="Times New Roman"/>
          <w:szCs w:val="24"/>
        </w:rPr>
        <w:t>Saham</w:t>
      </w:r>
      <w:r w:rsidRPr="00A85BA0">
        <w:rPr>
          <w:rFonts w:ascii="Times New Roman" w:hAnsi="Times New Roman"/>
          <w:szCs w:val="24"/>
        </w:rPr>
        <w:t xml:space="preserve"> Perseroan telah tercatat di Bursa Efek Jakarta, melalui IPO yang dilaksanakan </w:t>
      </w:r>
      <w:r w:rsidRPr="00A85BA0">
        <w:rPr>
          <w:rFonts w:ascii="Times New Roman" w:hAnsi="Times New Roman"/>
          <w:spacing w:val="10"/>
          <w:szCs w:val="24"/>
        </w:rPr>
        <w:t xml:space="preserve">pada tanggal 23 Desember 2002 dengan </w:t>
      </w:r>
      <w:r w:rsidRPr="00A85BA0">
        <w:rPr>
          <w:rFonts w:ascii="Times New Roman" w:hAnsi="Times New Roman"/>
          <w:spacing w:val="8"/>
          <w:szCs w:val="24"/>
        </w:rPr>
        <w:t>kode perdagangan saham: PTBA</w:t>
      </w:r>
      <w:r w:rsidR="001E7F22" w:rsidRPr="00A85BA0">
        <w:rPr>
          <w:rFonts w:ascii="Times New Roman" w:hAnsi="Times New Roman"/>
          <w:spacing w:val="8"/>
          <w:szCs w:val="24"/>
          <w:lang w:val="id-ID"/>
        </w:rPr>
        <w:t>.</w:t>
      </w:r>
      <w:r w:rsidR="001E7F22" w:rsidRPr="00A85BA0">
        <w:rPr>
          <w:rFonts w:ascii="Times New Roman" w:hAnsi="Times New Roman"/>
          <w:spacing w:val="8"/>
          <w:szCs w:val="24"/>
        </w:rPr>
        <w:t xml:space="preserve"> </w:t>
      </w:r>
      <w:r w:rsidRPr="00A85BA0">
        <w:rPr>
          <w:rFonts w:ascii="Times New Roman" w:hAnsi="Times New Roman"/>
          <w:szCs w:val="24"/>
        </w:rPr>
        <w:t xml:space="preserve">Pilihan untuk </w:t>
      </w:r>
      <w:r w:rsidR="001E7F22" w:rsidRPr="00A85BA0">
        <w:rPr>
          <w:rFonts w:ascii="Times New Roman" w:hAnsi="Times New Roman"/>
          <w:i/>
          <w:szCs w:val="24"/>
        </w:rPr>
        <w:t>mempublik</w:t>
      </w:r>
      <w:r w:rsidRPr="00A85BA0">
        <w:rPr>
          <w:rFonts w:ascii="Times New Roman" w:hAnsi="Times New Roman"/>
          <w:szCs w:val="24"/>
        </w:rPr>
        <w:t xml:space="preserve"> adalah salah satu alternatif yang dapat diambil dalam kerangka pendanaan jangka panjang perusahaan. </w:t>
      </w:r>
      <w:r w:rsidR="001E7F22" w:rsidRPr="00A85BA0">
        <w:rPr>
          <w:rFonts w:ascii="Times New Roman" w:hAnsi="Times New Roman"/>
          <w:szCs w:val="24"/>
        </w:rPr>
        <w:t>Banyak keuntungan yang bisa</w:t>
      </w:r>
      <w:r w:rsidRPr="00A85BA0">
        <w:rPr>
          <w:rFonts w:ascii="Times New Roman" w:hAnsi="Times New Roman"/>
          <w:szCs w:val="24"/>
        </w:rPr>
        <w:t xml:space="preserve"> yang diperoleh dengan mengubah status perusahaan yang </w:t>
      </w:r>
      <w:r w:rsidRPr="00A85BA0">
        <w:rPr>
          <w:rFonts w:ascii="Times New Roman" w:hAnsi="Times New Roman"/>
          <w:i/>
          <w:szCs w:val="24"/>
        </w:rPr>
        <w:t>private</w:t>
      </w:r>
      <w:r w:rsidRPr="00A85BA0">
        <w:rPr>
          <w:rFonts w:ascii="Times New Roman" w:hAnsi="Times New Roman"/>
          <w:szCs w:val="24"/>
        </w:rPr>
        <w:t xml:space="preserve"> menjadi </w:t>
      </w:r>
      <w:r w:rsidR="001E7F22" w:rsidRPr="00A85BA0">
        <w:rPr>
          <w:rFonts w:ascii="Times New Roman" w:hAnsi="Times New Roman"/>
          <w:i/>
          <w:szCs w:val="24"/>
        </w:rPr>
        <w:t>mempublik.</w:t>
      </w:r>
      <w:r w:rsidRPr="00A85BA0">
        <w:rPr>
          <w:rFonts w:ascii="Times New Roman" w:hAnsi="Times New Roman"/>
          <w:szCs w:val="24"/>
        </w:rPr>
        <w:t xml:space="preserve"> </w:t>
      </w:r>
      <w:r w:rsidR="001E7F22" w:rsidRPr="00A85BA0">
        <w:rPr>
          <w:rFonts w:ascii="Times New Roman" w:hAnsi="Times New Roman"/>
          <w:szCs w:val="24"/>
        </w:rPr>
        <w:t xml:space="preserve">Dari </w:t>
      </w:r>
      <w:r w:rsidRPr="00A85BA0">
        <w:rPr>
          <w:rFonts w:ascii="Times New Roman" w:hAnsi="Times New Roman"/>
          <w:szCs w:val="24"/>
        </w:rPr>
        <w:t>data BAPEPAM</w:t>
      </w:r>
      <w:r w:rsidR="001E7F22" w:rsidRPr="00A85BA0">
        <w:rPr>
          <w:rFonts w:ascii="Times New Roman" w:hAnsi="Times New Roman"/>
          <w:szCs w:val="24"/>
        </w:rPr>
        <w:t xml:space="preserve"> dapat diperoleh </w:t>
      </w:r>
      <w:r w:rsidRPr="00A85BA0">
        <w:rPr>
          <w:rFonts w:ascii="Times New Roman" w:hAnsi="Times New Roman"/>
          <w:szCs w:val="24"/>
        </w:rPr>
        <w:t xml:space="preserve">bahwa angka pertumbuhan perusahaan </w:t>
      </w:r>
      <w:r w:rsidR="001E7F22" w:rsidRPr="00A85BA0">
        <w:rPr>
          <w:rFonts w:ascii="Times New Roman" w:hAnsi="Times New Roman"/>
          <w:szCs w:val="24"/>
        </w:rPr>
        <w:t>mempublik</w:t>
      </w:r>
      <w:r w:rsidRPr="00A85BA0">
        <w:rPr>
          <w:rFonts w:ascii="Times New Roman" w:hAnsi="Times New Roman"/>
          <w:szCs w:val="24"/>
        </w:rPr>
        <w:t xml:space="preserve"> mengalami peningkatan setiap tahunnya. </w:t>
      </w:r>
    </w:p>
    <w:p w:rsidR="00D02E03" w:rsidRPr="001E7F22" w:rsidRDefault="001E7F22" w:rsidP="004F1E1A">
      <w:pPr>
        <w:pStyle w:val="ListParagraph"/>
        <w:spacing w:after="0" w:line="360" w:lineRule="auto"/>
        <w:ind w:firstLine="720"/>
        <w:jc w:val="both"/>
        <w:rPr>
          <w:rFonts w:ascii="Times New Roman" w:hAnsi="Times New Roman"/>
          <w:spacing w:val="18"/>
          <w:sz w:val="24"/>
          <w:szCs w:val="24"/>
        </w:rPr>
      </w:pPr>
      <w:r>
        <w:rPr>
          <w:rFonts w:ascii="Times New Roman" w:hAnsi="Times New Roman"/>
          <w:sz w:val="24"/>
          <w:szCs w:val="24"/>
        </w:rPr>
        <w:t>P</w:t>
      </w:r>
      <w:r w:rsidR="00D02E03" w:rsidRPr="00D02E03">
        <w:rPr>
          <w:rFonts w:ascii="Times New Roman" w:hAnsi="Times New Roman"/>
          <w:sz w:val="24"/>
          <w:szCs w:val="24"/>
        </w:rPr>
        <w:t>ertimbangan-pertimbangan</w:t>
      </w:r>
      <w:r>
        <w:rPr>
          <w:rFonts w:ascii="Times New Roman" w:hAnsi="Times New Roman"/>
          <w:sz w:val="24"/>
          <w:szCs w:val="24"/>
        </w:rPr>
        <w:t xml:space="preserve"> keuntungan yang diperoleh dalam jangka panjang</w:t>
      </w:r>
      <w:r w:rsidR="00D02E03" w:rsidRPr="00D02E03">
        <w:rPr>
          <w:rFonts w:ascii="Times New Roman" w:hAnsi="Times New Roman"/>
          <w:sz w:val="24"/>
          <w:szCs w:val="24"/>
        </w:rPr>
        <w:t xml:space="preserve"> </w:t>
      </w:r>
      <w:r>
        <w:rPr>
          <w:rFonts w:ascii="Times New Roman" w:hAnsi="Times New Roman"/>
          <w:sz w:val="24"/>
          <w:szCs w:val="24"/>
        </w:rPr>
        <w:t>bagi PTBA membuat perusahaan tersebut terdaftar di Bursa Efek Indonesia tahun 2002. Ke</w:t>
      </w:r>
      <w:r w:rsidR="00D02E03" w:rsidRPr="00D02E03">
        <w:rPr>
          <w:rFonts w:ascii="Times New Roman" w:hAnsi="Times New Roman"/>
          <w:sz w:val="24"/>
          <w:szCs w:val="24"/>
        </w:rPr>
        <w:t xml:space="preserve">giatan </w:t>
      </w:r>
      <w:r w:rsidR="00D02E03" w:rsidRPr="00D02E03">
        <w:rPr>
          <w:rFonts w:ascii="Times New Roman" w:hAnsi="Times New Roman"/>
          <w:i/>
          <w:sz w:val="24"/>
          <w:szCs w:val="24"/>
        </w:rPr>
        <w:t>listing</w:t>
      </w:r>
      <w:r w:rsidR="00D02E03" w:rsidRPr="00D02E03">
        <w:rPr>
          <w:rFonts w:ascii="Times New Roman" w:hAnsi="Times New Roman"/>
          <w:sz w:val="24"/>
          <w:szCs w:val="24"/>
        </w:rPr>
        <w:t xml:space="preserve"> tersebut didorong oleh alasan – alasan berikut:</w:t>
      </w:r>
      <w:r>
        <w:rPr>
          <w:rFonts w:ascii="Times New Roman" w:hAnsi="Times New Roman"/>
          <w:sz w:val="24"/>
          <w:szCs w:val="24"/>
        </w:rPr>
        <w:t xml:space="preserve"> m</w:t>
      </w:r>
      <w:r w:rsidR="00D02E03" w:rsidRPr="00D02E03">
        <w:rPr>
          <w:rFonts w:ascii="Times New Roman" w:hAnsi="Times New Roman"/>
          <w:sz w:val="24"/>
          <w:szCs w:val="24"/>
        </w:rPr>
        <w:t>embuka akses kepada pasar modal luar negeri yang berarti meningkatkan kemampuan perusahaan dalam mencari modal</w:t>
      </w:r>
      <w:r>
        <w:rPr>
          <w:rFonts w:ascii="Times New Roman" w:hAnsi="Times New Roman"/>
          <w:sz w:val="24"/>
          <w:szCs w:val="24"/>
        </w:rPr>
        <w:t>, p</w:t>
      </w:r>
      <w:r w:rsidR="00D02E03" w:rsidRPr="00D02E03">
        <w:rPr>
          <w:rFonts w:ascii="Times New Roman" w:hAnsi="Times New Roman"/>
          <w:sz w:val="24"/>
          <w:szCs w:val="24"/>
        </w:rPr>
        <w:t>ertumbuhan jangkauan pemegang saham atau perluasan distribusi</w:t>
      </w:r>
      <w:r>
        <w:rPr>
          <w:rFonts w:ascii="Times New Roman" w:hAnsi="Times New Roman"/>
          <w:sz w:val="24"/>
          <w:szCs w:val="24"/>
        </w:rPr>
        <w:t>, m</w:t>
      </w:r>
      <w:r w:rsidR="00D02E03" w:rsidRPr="00D02E03">
        <w:rPr>
          <w:rFonts w:ascii="Times New Roman" w:hAnsi="Times New Roman"/>
          <w:sz w:val="24"/>
          <w:szCs w:val="24"/>
        </w:rPr>
        <w:t>eningkatnya likuiditas karena perdagangan pada cakupan pasar saham yang lebih luas</w:t>
      </w:r>
      <w:r>
        <w:rPr>
          <w:rFonts w:ascii="Times New Roman" w:hAnsi="Times New Roman"/>
          <w:sz w:val="24"/>
          <w:szCs w:val="24"/>
        </w:rPr>
        <w:t>, m</w:t>
      </w:r>
      <w:r w:rsidR="00D02E03" w:rsidRPr="00D02E03">
        <w:rPr>
          <w:rFonts w:ascii="Times New Roman" w:hAnsi="Times New Roman"/>
          <w:sz w:val="24"/>
          <w:szCs w:val="24"/>
        </w:rPr>
        <w:t xml:space="preserve">eningkatkan paparan terhadap perusahaan yang membuat perusahaan terlihat menjadi lebih </w:t>
      </w:r>
      <w:r w:rsidR="00D02E03" w:rsidRPr="00D02E03">
        <w:rPr>
          <w:rFonts w:ascii="Times New Roman" w:hAnsi="Times New Roman"/>
          <w:sz w:val="24"/>
          <w:szCs w:val="24"/>
        </w:rPr>
        <w:lastRenderedPageBreak/>
        <w:t>menarik</w:t>
      </w:r>
      <w:r>
        <w:rPr>
          <w:rFonts w:ascii="Times New Roman" w:hAnsi="Times New Roman"/>
          <w:sz w:val="24"/>
          <w:szCs w:val="24"/>
        </w:rPr>
        <w:t>, m</w:t>
      </w:r>
      <w:r w:rsidR="00D02E03" w:rsidRPr="00D02E03">
        <w:rPr>
          <w:rFonts w:ascii="Times New Roman" w:hAnsi="Times New Roman"/>
          <w:sz w:val="24"/>
          <w:szCs w:val="24"/>
        </w:rPr>
        <w:t>emperkenalkan perusahaan secara meluas kepada investor/institusi luar negeri</w:t>
      </w:r>
      <w:r>
        <w:rPr>
          <w:rFonts w:ascii="Times New Roman" w:hAnsi="Times New Roman"/>
          <w:sz w:val="24"/>
          <w:szCs w:val="24"/>
        </w:rPr>
        <w:t>, m</w:t>
      </w:r>
      <w:r w:rsidR="00D02E03" w:rsidRPr="00D02E03">
        <w:rPr>
          <w:rFonts w:ascii="Times New Roman" w:hAnsi="Times New Roman"/>
          <w:sz w:val="24"/>
          <w:szCs w:val="24"/>
        </w:rPr>
        <w:t>eningkatnya disclosure tentang perusahaan yang berarti meningkatkan kredibilitas</w:t>
      </w:r>
      <w:r>
        <w:rPr>
          <w:rFonts w:ascii="Times New Roman" w:hAnsi="Times New Roman"/>
          <w:sz w:val="24"/>
          <w:szCs w:val="24"/>
        </w:rPr>
        <w:t>, m</w:t>
      </w:r>
      <w:r w:rsidR="00D02E03" w:rsidRPr="00D02E03">
        <w:rPr>
          <w:rFonts w:ascii="Times New Roman" w:hAnsi="Times New Roman"/>
          <w:sz w:val="24"/>
          <w:szCs w:val="24"/>
        </w:rPr>
        <w:t>eningkatkan prestise</w:t>
      </w:r>
      <w:r>
        <w:rPr>
          <w:rFonts w:ascii="Times New Roman" w:hAnsi="Times New Roman"/>
          <w:sz w:val="24"/>
          <w:szCs w:val="24"/>
        </w:rPr>
        <w:t xml:space="preserve"> dari perusahaan, m</w:t>
      </w:r>
      <w:r w:rsidR="00D02E03" w:rsidRPr="00D02E03">
        <w:rPr>
          <w:rFonts w:ascii="Times New Roman" w:hAnsi="Times New Roman"/>
          <w:sz w:val="24"/>
          <w:szCs w:val="24"/>
        </w:rPr>
        <w:t>eningkatkan identifikasi produk perusahaan atau dengan kata lain membantu usaha memasarkan produk perusahaan di pasar dunia.</w:t>
      </w:r>
    </w:p>
    <w:p w:rsidR="00D02E03" w:rsidRDefault="00D02E03" w:rsidP="004F1E1A">
      <w:pPr>
        <w:spacing w:after="0" w:line="360" w:lineRule="auto"/>
        <w:jc w:val="both"/>
        <w:rPr>
          <w:rFonts w:ascii="Times New Roman" w:hAnsi="Times New Roman"/>
          <w:b/>
          <w:bCs/>
          <w:w w:val="105"/>
          <w:szCs w:val="24"/>
          <w:lang w:val="id-ID"/>
        </w:rPr>
      </w:pPr>
    </w:p>
    <w:p w:rsidR="00432133" w:rsidRPr="00432133" w:rsidRDefault="00432133" w:rsidP="004F1E1A">
      <w:pPr>
        <w:spacing w:after="0" w:line="360" w:lineRule="auto"/>
        <w:jc w:val="both"/>
        <w:rPr>
          <w:rFonts w:ascii="Times New Roman" w:hAnsi="Times New Roman"/>
          <w:b/>
          <w:bCs/>
          <w:w w:val="105"/>
          <w:szCs w:val="24"/>
          <w:lang w:val="id-ID"/>
        </w:rPr>
      </w:pPr>
    </w:p>
    <w:p w:rsidR="00432133" w:rsidRPr="00432133" w:rsidRDefault="00432133" w:rsidP="004F1E1A">
      <w:pPr>
        <w:pStyle w:val="ListParagraph"/>
        <w:numPr>
          <w:ilvl w:val="0"/>
          <w:numId w:val="9"/>
        </w:numPr>
        <w:spacing w:after="0" w:line="360" w:lineRule="auto"/>
        <w:jc w:val="both"/>
        <w:rPr>
          <w:rFonts w:ascii="Times New Roman" w:hAnsi="Times New Roman"/>
          <w:b/>
          <w:bCs/>
          <w:w w:val="105"/>
          <w:szCs w:val="24"/>
        </w:rPr>
      </w:pPr>
      <w:r w:rsidRPr="00432133">
        <w:rPr>
          <w:rFonts w:ascii="Times New Roman" w:hAnsi="Times New Roman"/>
          <w:b/>
          <w:color w:val="000000" w:themeColor="text1"/>
          <w:szCs w:val="24"/>
          <w:lang w:eastAsia="id-ID"/>
        </w:rPr>
        <w:t>Tipe Kepemilikan</w:t>
      </w:r>
      <w:r>
        <w:rPr>
          <w:rFonts w:ascii="Times New Roman" w:hAnsi="Times New Roman"/>
          <w:b/>
          <w:color w:val="000000" w:themeColor="text1"/>
          <w:szCs w:val="24"/>
          <w:lang w:eastAsia="id-ID"/>
        </w:rPr>
        <w:t xml:space="preserve"> Geografis &amp; Tipe Kepemilikan Institusional</w:t>
      </w:r>
    </w:p>
    <w:p w:rsidR="00432133" w:rsidRDefault="00432133" w:rsidP="004F1E1A">
      <w:pPr>
        <w:spacing w:after="0" w:line="360" w:lineRule="auto"/>
        <w:jc w:val="both"/>
        <w:rPr>
          <w:rFonts w:ascii="Times New Roman" w:hAnsi="Times New Roman"/>
          <w:b/>
          <w:bCs/>
          <w:w w:val="105"/>
          <w:szCs w:val="24"/>
          <w:lang w:val="id-ID"/>
        </w:rPr>
      </w:pPr>
    </w:p>
    <w:p w:rsidR="00432133" w:rsidRDefault="00432133" w:rsidP="004F1E1A">
      <w:pPr>
        <w:autoSpaceDE w:val="0"/>
        <w:autoSpaceDN w:val="0"/>
        <w:adjustRightInd w:val="0"/>
        <w:spacing w:after="0" w:line="400" w:lineRule="atLeast"/>
        <w:jc w:val="both"/>
        <w:rPr>
          <w:rFonts w:ascii="Times New Roman" w:hAnsi="Times New Roman"/>
          <w:color w:val="000000" w:themeColor="text1"/>
          <w:szCs w:val="24"/>
          <w:lang w:val="id-ID" w:eastAsia="id-ID"/>
        </w:rPr>
      </w:pPr>
      <w:r w:rsidRPr="009131DA">
        <w:rPr>
          <w:rFonts w:ascii="Times New Roman" w:hAnsi="Times New Roman"/>
          <w:color w:val="000000" w:themeColor="text1"/>
          <w:szCs w:val="24"/>
          <w:lang w:val="id-ID" w:eastAsia="id-ID"/>
        </w:rPr>
        <w:t>Dalam studi ini, PT Bukit Asam memiliki jenis tipe kepemilikan</w:t>
      </w:r>
      <w:r w:rsidR="001E7F22">
        <w:rPr>
          <w:rFonts w:ascii="Times New Roman" w:hAnsi="Times New Roman"/>
          <w:color w:val="000000" w:themeColor="text1"/>
          <w:szCs w:val="24"/>
          <w:lang w:val="id-ID" w:eastAsia="id-ID"/>
        </w:rPr>
        <w:t xml:space="preserve"> pemodal nasional dan pemodal asing. Tabel di bawah ini menunjukkan berbagai karakteristik tipe kepemilikan di PT Bukit Asam tahun 2012 dan tahun 2011.</w:t>
      </w:r>
      <w:bookmarkStart w:id="0" w:name="_GoBack"/>
      <w:bookmarkEnd w:id="0"/>
    </w:p>
    <w:p w:rsidR="001E7F22" w:rsidRDefault="001E7F22" w:rsidP="001E7F22">
      <w:pPr>
        <w:autoSpaceDE w:val="0"/>
        <w:autoSpaceDN w:val="0"/>
        <w:adjustRightInd w:val="0"/>
        <w:spacing w:after="0" w:line="400" w:lineRule="atLeast"/>
        <w:jc w:val="center"/>
        <w:rPr>
          <w:rFonts w:ascii="Times New Roman" w:hAnsi="Times New Roman"/>
          <w:color w:val="000000" w:themeColor="text1"/>
          <w:szCs w:val="24"/>
          <w:lang w:val="id-ID" w:eastAsia="id-ID"/>
        </w:rPr>
      </w:pPr>
    </w:p>
    <w:p w:rsidR="001E7F22" w:rsidRPr="009131DA" w:rsidRDefault="001E7F22" w:rsidP="001E7F22">
      <w:pPr>
        <w:autoSpaceDE w:val="0"/>
        <w:autoSpaceDN w:val="0"/>
        <w:adjustRightInd w:val="0"/>
        <w:spacing w:after="0" w:line="400" w:lineRule="atLeast"/>
        <w:jc w:val="center"/>
        <w:rPr>
          <w:rFonts w:ascii="Times New Roman" w:hAnsi="Times New Roman"/>
          <w:color w:val="000000" w:themeColor="text1"/>
          <w:szCs w:val="24"/>
          <w:lang w:val="id-ID" w:eastAsia="id-ID"/>
        </w:rPr>
      </w:pPr>
      <w:r>
        <w:rPr>
          <w:rFonts w:ascii="Times New Roman" w:hAnsi="Times New Roman"/>
          <w:color w:val="000000" w:themeColor="text1"/>
          <w:szCs w:val="24"/>
          <w:lang w:val="id-ID" w:eastAsia="id-ID"/>
        </w:rPr>
        <w:t>Tabel Kepemilikan Saham PT Bukit Asam</w:t>
      </w:r>
    </w:p>
    <w:p w:rsidR="00432133" w:rsidRPr="009131DA" w:rsidRDefault="00432133" w:rsidP="00432133">
      <w:pPr>
        <w:autoSpaceDE w:val="0"/>
        <w:autoSpaceDN w:val="0"/>
        <w:adjustRightInd w:val="0"/>
        <w:spacing w:after="0" w:line="400" w:lineRule="atLeast"/>
        <w:rPr>
          <w:rFonts w:ascii="Times New Roman" w:hAnsi="Times New Roman"/>
          <w:color w:val="000000" w:themeColor="text1"/>
          <w:szCs w:val="24"/>
          <w:lang w:val="id-ID" w:eastAsia="id-ID"/>
        </w:rPr>
      </w:pPr>
    </w:p>
    <w:tbl>
      <w:tblPr>
        <w:tblW w:w="9087" w:type="dxa"/>
        <w:tblInd w:w="142" w:type="dxa"/>
        <w:tblLayout w:type="fixed"/>
        <w:tblCellMar>
          <w:left w:w="0" w:type="dxa"/>
          <w:right w:w="0" w:type="dxa"/>
        </w:tblCellMar>
        <w:tblLook w:val="0000" w:firstRow="0" w:lastRow="0" w:firstColumn="0" w:lastColumn="0" w:noHBand="0" w:noVBand="0"/>
      </w:tblPr>
      <w:tblGrid>
        <w:gridCol w:w="2458"/>
        <w:gridCol w:w="1555"/>
        <w:gridCol w:w="1454"/>
        <w:gridCol w:w="1296"/>
        <w:gridCol w:w="1162"/>
        <w:gridCol w:w="1162"/>
      </w:tblGrid>
      <w:tr w:rsidR="00432133" w:rsidRPr="009131DA" w:rsidTr="001E7F22">
        <w:trPr>
          <w:trHeight w:hRule="exact" w:val="355"/>
        </w:trPr>
        <w:tc>
          <w:tcPr>
            <w:tcW w:w="2458" w:type="dxa"/>
            <w:tcBorders>
              <w:top w:val="nil"/>
              <w:left w:val="nil"/>
              <w:bottom w:val="single" w:sz="4" w:space="0" w:color="auto"/>
              <w:right w:val="single" w:sz="4" w:space="0" w:color="auto"/>
            </w:tcBorders>
            <w:shd w:val="clear" w:color="auto" w:fill="DBE5F1" w:themeFill="accent1" w:themeFillTint="33"/>
            <w:vAlign w:val="center"/>
          </w:tcPr>
          <w:p w:rsidR="00432133" w:rsidRPr="009131DA" w:rsidRDefault="00432133" w:rsidP="00A85BA0">
            <w:pPr>
              <w:ind w:left="62"/>
              <w:rPr>
                <w:rFonts w:ascii="Times New Roman" w:hAnsi="Times New Roman"/>
                <w:noProof/>
                <w:color w:val="000000" w:themeColor="text1"/>
                <w:szCs w:val="24"/>
                <w:lang w:val="id-ID"/>
              </w:rPr>
            </w:pPr>
            <w:r w:rsidRPr="009131DA">
              <w:rPr>
                <w:rFonts w:ascii="Times New Roman" w:hAnsi="Times New Roman"/>
                <w:noProof/>
                <w:color w:val="000000" w:themeColor="text1"/>
                <w:szCs w:val="24"/>
                <w:lang w:val="id-ID"/>
              </w:rPr>
              <w:t>Tipe Kepemilikan</w:t>
            </w:r>
          </w:p>
        </w:tc>
        <w:tc>
          <w:tcPr>
            <w:tcW w:w="3009" w:type="dxa"/>
            <w:gridSpan w:val="2"/>
            <w:tcBorders>
              <w:top w:val="nil"/>
              <w:left w:val="single" w:sz="4" w:space="0" w:color="auto"/>
              <w:bottom w:val="single" w:sz="4" w:space="0" w:color="auto"/>
              <w:right w:val="single" w:sz="4" w:space="0" w:color="auto"/>
            </w:tcBorders>
            <w:shd w:val="clear" w:color="auto" w:fill="DBE5F1" w:themeFill="accent1" w:themeFillTint="33"/>
          </w:tcPr>
          <w:p w:rsidR="00432133" w:rsidRPr="009131DA" w:rsidRDefault="00432133" w:rsidP="001E7F22">
            <w:pPr>
              <w:jc w:val="center"/>
              <w:rPr>
                <w:rFonts w:ascii="Times New Roman" w:hAnsi="Times New Roman"/>
                <w:color w:val="000000" w:themeColor="text1"/>
                <w:szCs w:val="24"/>
                <w:lang w:val="id-ID"/>
              </w:rPr>
            </w:pPr>
            <w:r w:rsidRPr="009131DA">
              <w:rPr>
                <w:rFonts w:ascii="Times New Roman" w:hAnsi="Times New Roman"/>
                <w:color w:val="000000" w:themeColor="text1"/>
                <w:szCs w:val="24"/>
                <w:lang w:val="id-ID"/>
              </w:rPr>
              <w:t>Jumlah  Saham</w:t>
            </w:r>
          </w:p>
        </w:tc>
        <w:tc>
          <w:tcPr>
            <w:tcW w:w="2458" w:type="dxa"/>
            <w:gridSpan w:val="2"/>
            <w:tcBorders>
              <w:top w:val="nil"/>
              <w:left w:val="single" w:sz="4" w:space="0" w:color="auto"/>
              <w:bottom w:val="single" w:sz="4" w:space="0" w:color="auto"/>
              <w:right w:val="single" w:sz="4" w:space="0" w:color="auto"/>
            </w:tcBorders>
            <w:shd w:val="clear" w:color="auto" w:fill="DBE5F1" w:themeFill="accent1" w:themeFillTint="33"/>
          </w:tcPr>
          <w:p w:rsidR="00432133" w:rsidRPr="009131DA" w:rsidRDefault="00432133" w:rsidP="00A85BA0">
            <w:pPr>
              <w:ind w:left="61"/>
              <w:rPr>
                <w:rFonts w:ascii="Times New Roman" w:hAnsi="Times New Roman"/>
                <w:color w:val="000000" w:themeColor="text1"/>
                <w:szCs w:val="24"/>
                <w:lang w:val="id-ID"/>
              </w:rPr>
            </w:pPr>
            <w:r w:rsidRPr="009131DA">
              <w:rPr>
                <w:rFonts w:ascii="Times New Roman" w:hAnsi="Times New Roman"/>
                <w:color w:val="000000" w:themeColor="text1"/>
                <w:szCs w:val="24"/>
                <w:lang w:val="id-ID"/>
              </w:rPr>
              <w:t>Presentase</w:t>
            </w:r>
          </w:p>
        </w:tc>
        <w:tc>
          <w:tcPr>
            <w:tcW w:w="1162" w:type="dxa"/>
            <w:vMerge w:val="restart"/>
            <w:tcBorders>
              <w:top w:val="nil"/>
              <w:left w:val="single" w:sz="4" w:space="0" w:color="auto"/>
              <w:right w:val="single" w:sz="4" w:space="0" w:color="auto"/>
            </w:tcBorders>
            <w:shd w:val="clear" w:color="auto" w:fill="DBE5F1" w:themeFill="accent1" w:themeFillTint="33"/>
          </w:tcPr>
          <w:p w:rsidR="00432133" w:rsidRPr="009131DA" w:rsidRDefault="00432133" w:rsidP="00A85BA0">
            <w:pPr>
              <w:ind w:left="155" w:right="157"/>
              <w:rPr>
                <w:rFonts w:ascii="Times New Roman" w:hAnsi="Times New Roman"/>
                <w:color w:val="000000" w:themeColor="text1"/>
                <w:szCs w:val="24"/>
                <w:lang w:val="id-ID"/>
              </w:rPr>
            </w:pPr>
            <w:r w:rsidRPr="009131DA">
              <w:rPr>
                <w:rFonts w:ascii="Times New Roman" w:hAnsi="Times New Roman"/>
                <w:color w:val="000000" w:themeColor="text1"/>
                <w:szCs w:val="24"/>
                <w:lang w:val="id-ID"/>
              </w:rPr>
              <w:t>Keterangan</w:t>
            </w:r>
          </w:p>
        </w:tc>
      </w:tr>
      <w:tr w:rsidR="00432133" w:rsidRPr="009131DA" w:rsidTr="00F653F7">
        <w:trPr>
          <w:trHeight w:hRule="exact" w:val="355"/>
        </w:trPr>
        <w:tc>
          <w:tcPr>
            <w:tcW w:w="2458" w:type="dxa"/>
            <w:tcBorders>
              <w:top w:val="nil"/>
              <w:left w:val="nil"/>
              <w:bottom w:val="single" w:sz="4" w:space="0" w:color="auto"/>
              <w:right w:val="single" w:sz="4" w:space="0" w:color="auto"/>
            </w:tcBorders>
            <w:shd w:val="clear" w:color="auto" w:fill="D6E3BC" w:themeFill="accent3" w:themeFillTint="66"/>
            <w:vAlign w:val="center"/>
          </w:tcPr>
          <w:p w:rsidR="00432133" w:rsidRPr="009131DA" w:rsidRDefault="00432133" w:rsidP="00A85BA0">
            <w:pPr>
              <w:ind w:left="62"/>
              <w:rPr>
                <w:rFonts w:ascii="Times New Roman" w:hAnsi="Times New Roman"/>
                <w:b/>
                <w:bCs/>
                <w:color w:val="000000" w:themeColor="text1"/>
                <w:spacing w:val="6"/>
                <w:szCs w:val="24"/>
              </w:rPr>
            </w:pPr>
            <w:r w:rsidRPr="009131DA">
              <w:rPr>
                <w:rFonts w:ascii="Times New Roman" w:hAnsi="Times New Roman"/>
                <w:b/>
                <w:bCs/>
                <w:color w:val="000000" w:themeColor="text1"/>
                <w:spacing w:val="6"/>
                <w:szCs w:val="24"/>
              </w:rPr>
              <w:t>Pemodal Nasional</w:t>
            </w:r>
          </w:p>
        </w:tc>
        <w:tc>
          <w:tcPr>
            <w:tcW w:w="1555" w:type="dxa"/>
            <w:tcBorders>
              <w:top w:val="nil"/>
              <w:left w:val="single" w:sz="4" w:space="0" w:color="auto"/>
              <w:bottom w:val="single" w:sz="4" w:space="0" w:color="auto"/>
              <w:right w:val="single" w:sz="4" w:space="0" w:color="auto"/>
            </w:tcBorders>
            <w:shd w:val="clear" w:color="auto" w:fill="D6E3BC" w:themeFill="accent3" w:themeFillTint="66"/>
          </w:tcPr>
          <w:p w:rsidR="00432133" w:rsidRPr="009131DA" w:rsidRDefault="00432133" w:rsidP="001E7F22">
            <w:pPr>
              <w:jc w:val="center"/>
              <w:rPr>
                <w:rFonts w:ascii="Times New Roman" w:hAnsi="Times New Roman"/>
                <w:color w:val="000000" w:themeColor="text1"/>
                <w:szCs w:val="24"/>
                <w:lang w:val="id-ID"/>
              </w:rPr>
            </w:pPr>
            <w:r w:rsidRPr="009131DA">
              <w:rPr>
                <w:rFonts w:ascii="Times New Roman" w:hAnsi="Times New Roman"/>
                <w:color w:val="000000" w:themeColor="text1"/>
                <w:szCs w:val="24"/>
                <w:lang w:val="id-ID"/>
              </w:rPr>
              <w:t>2012</w:t>
            </w:r>
          </w:p>
        </w:tc>
        <w:tc>
          <w:tcPr>
            <w:tcW w:w="1454" w:type="dxa"/>
            <w:tcBorders>
              <w:top w:val="nil"/>
              <w:left w:val="single" w:sz="4" w:space="0" w:color="auto"/>
              <w:bottom w:val="single" w:sz="4" w:space="0" w:color="auto"/>
              <w:right w:val="single" w:sz="4" w:space="0" w:color="auto"/>
            </w:tcBorders>
            <w:shd w:val="clear" w:color="auto" w:fill="D6E3BC" w:themeFill="accent3" w:themeFillTint="66"/>
          </w:tcPr>
          <w:p w:rsidR="00432133" w:rsidRPr="009131DA" w:rsidRDefault="00432133" w:rsidP="001E7F22">
            <w:pPr>
              <w:jc w:val="center"/>
              <w:rPr>
                <w:rFonts w:ascii="Times New Roman" w:hAnsi="Times New Roman"/>
                <w:color w:val="000000" w:themeColor="text1"/>
                <w:szCs w:val="24"/>
                <w:lang w:val="id-ID"/>
              </w:rPr>
            </w:pPr>
            <w:r w:rsidRPr="009131DA">
              <w:rPr>
                <w:rFonts w:ascii="Times New Roman" w:hAnsi="Times New Roman"/>
                <w:color w:val="000000" w:themeColor="text1"/>
                <w:szCs w:val="24"/>
                <w:lang w:val="id-ID"/>
              </w:rPr>
              <w:t>2011</w:t>
            </w:r>
          </w:p>
        </w:tc>
        <w:tc>
          <w:tcPr>
            <w:tcW w:w="1296" w:type="dxa"/>
            <w:tcBorders>
              <w:top w:val="nil"/>
              <w:left w:val="single" w:sz="4" w:space="0" w:color="auto"/>
              <w:bottom w:val="single" w:sz="4" w:space="0" w:color="auto"/>
              <w:right w:val="single" w:sz="4" w:space="0" w:color="auto"/>
            </w:tcBorders>
            <w:shd w:val="clear" w:color="auto" w:fill="D6E3BC" w:themeFill="accent3" w:themeFillTint="66"/>
          </w:tcPr>
          <w:p w:rsidR="00432133" w:rsidRPr="009131DA" w:rsidRDefault="00432133" w:rsidP="00A85BA0">
            <w:pPr>
              <w:rPr>
                <w:rFonts w:ascii="Times New Roman" w:hAnsi="Times New Roman"/>
                <w:color w:val="000000" w:themeColor="text1"/>
                <w:szCs w:val="24"/>
                <w:lang w:val="id-ID"/>
              </w:rPr>
            </w:pPr>
            <w:r w:rsidRPr="009131DA">
              <w:rPr>
                <w:rFonts w:ascii="Times New Roman" w:hAnsi="Times New Roman"/>
                <w:color w:val="000000" w:themeColor="text1"/>
                <w:szCs w:val="24"/>
                <w:lang w:val="id-ID"/>
              </w:rPr>
              <w:t>2012</w:t>
            </w:r>
          </w:p>
        </w:tc>
        <w:tc>
          <w:tcPr>
            <w:tcW w:w="1162" w:type="dxa"/>
            <w:tcBorders>
              <w:top w:val="nil"/>
              <w:left w:val="single" w:sz="4" w:space="0" w:color="auto"/>
              <w:bottom w:val="single" w:sz="4" w:space="0" w:color="auto"/>
              <w:right w:val="nil"/>
            </w:tcBorders>
            <w:shd w:val="clear" w:color="auto" w:fill="D6E3BC" w:themeFill="accent3" w:themeFillTint="66"/>
          </w:tcPr>
          <w:p w:rsidR="00432133" w:rsidRPr="009131DA" w:rsidRDefault="00432133" w:rsidP="00A85BA0">
            <w:pPr>
              <w:rPr>
                <w:rFonts w:ascii="Times New Roman" w:hAnsi="Times New Roman"/>
                <w:color w:val="000000" w:themeColor="text1"/>
                <w:szCs w:val="24"/>
                <w:lang w:val="id-ID"/>
              </w:rPr>
            </w:pPr>
            <w:r w:rsidRPr="009131DA">
              <w:rPr>
                <w:rFonts w:ascii="Times New Roman" w:hAnsi="Times New Roman"/>
                <w:color w:val="000000" w:themeColor="text1"/>
                <w:szCs w:val="24"/>
                <w:lang w:val="id-ID"/>
              </w:rPr>
              <w:t>2011</w:t>
            </w:r>
          </w:p>
        </w:tc>
        <w:tc>
          <w:tcPr>
            <w:tcW w:w="1162" w:type="dxa"/>
            <w:vMerge/>
            <w:tcBorders>
              <w:left w:val="single" w:sz="4" w:space="0" w:color="auto"/>
              <w:bottom w:val="single" w:sz="4" w:space="0" w:color="auto"/>
              <w:right w:val="single" w:sz="4" w:space="0" w:color="auto"/>
            </w:tcBorders>
            <w:shd w:val="solid" w:color="77C8DE" w:fill="auto"/>
          </w:tcPr>
          <w:p w:rsidR="00432133" w:rsidRPr="009131DA" w:rsidRDefault="00432133" w:rsidP="00A85BA0">
            <w:pPr>
              <w:rPr>
                <w:rFonts w:ascii="Times New Roman" w:hAnsi="Times New Roman"/>
                <w:color w:val="000000" w:themeColor="text1"/>
                <w:szCs w:val="24"/>
                <w:lang w:val="id-ID"/>
              </w:rPr>
            </w:pPr>
          </w:p>
        </w:tc>
      </w:tr>
      <w:tr w:rsidR="00432133" w:rsidRPr="009131DA" w:rsidTr="00A85BA0">
        <w:trPr>
          <w:trHeight w:hRule="exact" w:val="355"/>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ind w:left="62"/>
              <w:rPr>
                <w:rFonts w:ascii="Times New Roman" w:hAnsi="Times New Roman"/>
                <w:color w:val="000000" w:themeColor="text1"/>
                <w:spacing w:val="12"/>
                <w:szCs w:val="24"/>
              </w:rPr>
            </w:pPr>
            <w:r w:rsidRPr="009131DA">
              <w:rPr>
                <w:rFonts w:ascii="Times New Roman" w:hAnsi="Times New Roman"/>
                <w:color w:val="000000" w:themeColor="text1"/>
                <w:spacing w:val="12"/>
                <w:szCs w:val="24"/>
              </w:rPr>
              <w:t>Negara Republik Indonesia</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pacing w:val="10"/>
                <w:szCs w:val="24"/>
              </w:rPr>
            </w:pPr>
            <w:r w:rsidRPr="009131DA">
              <w:rPr>
                <w:rFonts w:ascii="Times New Roman" w:hAnsi="Times New Roman"/>
                <w:color w:val="000000" w:themeColor="text1"/>
                <w:spacing w:val="10"/>
                <w:szCs w:val="24"/>
              </w:rPr>
              <w:t>1.498.087.500</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color w:val="000000" w:themeColor="text1"/>
                <w:spacing w:val="10"/>
                <w:szCs w:val="24"/>
              </w:rPr>
            </w:pPr>
            <w:r w:rsidRPr="009131DA">
              <w:rPr>
                <w:rFonts w:ascii="Times New Roman" w:hAnsi="Times New Roman"/>
                <w:color w:val="000000" w:themeColor="text1"/>
                <w:spacing w:val="10"/>
                <w:szCs w:val="24"/>
              </w:rPr>
              <w:t>1.498.087.500</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65,01744</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color w:val="000000" w:themeColor="text1"/>
                <w:szCs w:val="24"/>
              </w:rPr>
            </w:pPr>
            <w:r w:rsidRPr="009131DA">
              <w:rPr>
                <w:rFonts w:ascii="Times New Roman" w:hAnsi="Times New Roman"/>
                <w:color w:val="000000" w:themeColor="text1"/>
                <w:szCs w:val="24"/>
              </w:rPr>
              <w:t>65,01744</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color w:val="000000" w:themeColor="text1"/>
                <w:szCs w:val="24"/>
                <w:lang w:val="id-ID"/>
              </w:rPr>
            </w:pPr>
            <w:r w:rsidRPr="009131DA">
              <w:rPr>
                <w:rFonts w:ascii="Times New Roman" w:hAnsi="Times New Roman"/>
                <w:color w:val="000000" w:themeColor="text1"/>
                <w:szCs w:val="24"/>
                <w:lang w:val="id-ID"/>
              </w:rPr>
              <w:t>tetap</w:t>
            </w:r>
          </w:p>
        </w:tc>
      </w:tr>
      <w:tr w:rsidR="00432133" w:rsidRPr="009131DA" w:rsidTr="00A85BA0">
        <w:trPr>
          <w:trHeight w:hRule="exact" w:val="351"/>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ind w:left="62"/>
              <w:rPr>
                <w:rFonts w:ascii="Times New Roman" w:hAnsi="Times New Roman"/>
                <w:color w:val="000000" w:themeColor="text1"/>
                <w:spacing w:val="12"/>
                <w:szCs w:val="24"/>
              </w:rPr>
            </w:pPr>
            <w:r w:rsidRPr="009131DA">
              <w:rPr>
                <w:rFonts w:ascii="Times New Roman" w:hAnsi="Times New Roman"/>
                <w:color w:val="000000" w:themeColor="text1"/>
                <w:spacing w:val="12"/>
                <w:szCs w:val="24"/>
              </w:rPr>
              <w:t>Investor Domestik</w:t>
            </w:r>
          </w:p>
        </w:tc>
        <w:tc>
          <w:tcPr>
            <w:tcW w:w="1555" w:type="dxa"/>
            <w:tcBorders>
              <w:top w:val="single" w:sz="4" w:space="0" w:color="auto"/>
              <w:left w:val="single" w:sz="4" w:space="0" w:color="auto"/>
              <w:bottom w:val="single" w:sz="4" w:space="0" w:color="auto"/>
              <w:right w:val="single" w:sz="4" w:space="0" w:color="auto"/>
            </w:tcBorders>
            <w:shd w:val="solid" w:color="E8EDF5" w:fill="auto"/>
          </w:tcPr>
          <w:p w:rsidR="00432133" w:rsidRPr="009131DA" w:rsidRDefault="00432133" w:rsidP="00A85BA0">
            <w:pPr>
              <w:rPr>
                <w:rFonts w:ascii="Times New Roman" w:hAnsi="Times New Roman"/>
                <w:color w:val="000000" w:themeColor="text1"/>
                <w:szCs w:val="24"/>
              </w:rPr>
            </w:pPr>
          </w:p>
        </w:tc>
        <w:tc>
          <w:tcPr>
            <w:tcW w:w="1454" w:type="dxa"/>
            <w:tcBorders>
              <w:top w:val="single" w:sz="4" w:space="0" w:color="auto"/>
              <w:left w:val="single" w:sz="4" w:space="0" w:color="auto"/>
              <w:bottom w:val="single" w:sz="4" w:space="0" w:color="auto"/>
              <w:right w:val="single" w:sz="4" w:space="0" w:color="auto"/>
            </w:tcBorders>
          </w:tcPr>
          <w:p w:rsidR="00432133" w:rsidRPr="009131DA" w:rsidRDefault="00432133" w:rsidP="00A85BA0">
            <w:pPr>
              <w:rPr>
                <w:rFonts w:ascii="Times New Roman" w:hAnsi="Times New Roman"/>
                <w:color w:val="000000" w:themeColor="text1"/>
                <w:szCs w:val="24"/>
              </w:rPr>
            </w:pPr>
          </w:p>
        </w:tc>
        <w:tc>
          <w:tcPr>
            <w:tcW w:w="1296" w:type="dxa"/>
            <w:tcBorders>
              <w:top w:val="single" w:sz="4" w:space="0" w:color="auto"/>
              <w:left w:val="single" w:sz="4" w:space="0" w:color="auto"/>
              <w:bottom w:val="single" w:sz="4" w:space="0" w:color="auto"/>
              <w:right w:val="single" w:sz="4" w:space="0" w:color="auto"/>
            </w:tcBorders>
            <w:shd w:val="solid" w:color="E8EDF5" w:fill="auto"/>
          </w:tcPr>
          <w:p w:rsidR="00432133" w:rsidRPr="009131DA" w:rsidRDefault="00432133" w:rsidP="00A85BA0">
            <w:pPr>
              <w:rPr>
                <w:rFonts w:ascii="Times New Roman" w:hAnsi="Times New Roman"/>
                <w:color w:val="000000" w:themeColor="text1"/>
                <w:szCs w:val="24"/>
              </w:rPr>
            </w:pP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rPr>
                <w:rFonts w:ascii="Times New Roman" w:hAnsi="Times New Roman"/>
                <w:color w:val="000000" w:themeColor="text1"/>
                <w:szCs w:val="24"/>
              </w:rPr>
            </w:pP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rPr>
                <w:rFonts w:ascii="Times New Roman" w:hAnsi="Times New Roman"/>
                <w:color w:val="000000" w:themeColor="text1"/>
                <w:szCs w:val="24"/>
              </w:rPr>
            </w:pPr>
          </w:p>
        </w:tc>
      </w:tr>
      <w:tr w:rsidR="00432133" w:rsidRPr="009131DA" w:rsidTr="00A85BA0">
        <w:trPr>
          <w:trHeight w:hRule="exact" w:val="355"/>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widowControl w:val="0"/>
              <w:numPr>
                <w:ilvl w:val="0"/>
                <w:numId w:val="1"/>
              </w:numPr>
              <w:tabs>
                <w:tab w:val="clear" w:pos="216"/>
                <w:tab w:val="num" w:pos="278"/>
              </w:tabs>
              <w:kinsoku w:val="0"/>
              <w:spacing w:after="0" w:line="240" w:lineRule="auto"/>
              <w:rPr>
                <w:rFonts w:ascii="Times New Roman" w:hAnsi="Times New Roman"/>
                <w:color w:val="000000" w:themeColor="text1"/>
                <w:spacing w:val="20"/>
                <w:szCs w:val="24"/>
              </w:rPr>
            </w:pPr>
            <w:r w:rsidRPr="009131DA">
              <w:rPr>
                <w:rFonts w:ascii="Times New Roman" w:hAnsi="Times New Roman"/>
                <w:color w:val="000000" w:themeColor="text1"/>
                <w:spacing w:val="20"/>
                <w:szCs w:val="24"/>
              </w:rPr>
              <w:t>Perorangan Indonesia</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zCs w:val="24"/>
              </w:rPr>
            </w:pPr>
            <w:r w:rsidRPr="009131DA">
              <w:rPr>
                <w:rFonts w:ascii="Times New Roman" w:hAnsi="Times New Roman"/>
                <w:color w:val="000000" w:themeColor="text1"/>
                <w:szCs w:val="24"/>
              </w:rPr>
              <w:t>51.323.122</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color w:val="000000" w:themeColor="text1"/>
                <w:szCs w:val="24"/>
              </w:rPr>
            </w:pPr>
            <w:r w:rsidRPr="009131DA">
              <w:rPr>
                <w:rFonts w:ascii="Times New Roman" w:hAnsi="Times New Roman"/>
                <w:color w:val="000000" w:themeColor="text1"/>
                <w:szCs w:val="24"/>
              </w:rPr>
              <w:t>51.518.254</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2,2274</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color w:val="000000" w:themeColor="text1"/>
                <w:szCs w:val="24"/>
              </w:rPr>
            </w:pPr>
            <w:r w:rsidRPr="009131DA">
              <w:rPr>
                <w:rFonts w:ascii="Times New Roman" w:hAnsi="Times New Roman"/>
                <w:color w:val="000000" w:themeColor="text1"/>
                <w:szCs w:val="24"/>
              </w:rPr>
              <w:t>2,23591</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jc w:val="center"/>
              <w:rPr>
                <w:rFonts w:ascii="Times New Roman" w:hAnsi="Times New Roman"/>
                <w:color w:val="000000" w:themeColor="text1"/>
                <w:szCs w:val="24"/>
                <w:lang w:val="id-ID"/>
              </w:rPr>
            </w:pPr>
            <w:r w:rsidRPr="009131DA">
              <w:rPr>
                <w:rFonts w:ascii="Times New Roman" w:hAnsi="Times New Roman"/>
                <w:color w:val="000000" w:themeColor="text1"/>
                <w:szCs w:val="24"/>
                <w:lang w:val="id-ID"/>
              </w:rPr>
              <w:t>menurun</w:t>
            </w:r>
          </w:p>
        </w:tc>
      </w:tr>
      <w:tr w:rsidR="00432133" w:rsidRPr="009131DA" w:rsidTr="00A85BA0">
        <w:trPr>
          <w:trHeight w:hRule="exact" w:val="356"/>
        </w:trPr>
        <w:tc>
          <w:tcPr>
            <w:tcW w:w="2458" w:type="dxa"/>
            <w:tcBorders>
              <w:top w:val="single" w:sz="4" w:space="0" w:color="auto"/>
              <w:left w:val="nil"/>
              <w:bottom w:val="single" w:sz="4" w:space="0" w:color="auto"/>
              <w:right w:val="single" w:sz="4" w:space="0" w:color="auto"/>
            </w:tcBorders>
            <w:vAlign w:val="center"/>
          </w:tcPr>
          <w:p w:rsidR="00A85BA0" w:rsidRPr="00A85BA0" w:rsidRDefault="00432133" w:rsidP="00A85BA0">
            <w:pPr>
              <w:widowControl w:val="0"/>
              <w:numPr>
                <w:ilvl w:val="0"/>
                <w:numId w:val="1"/>
              </w:numPr>
              <w:tabs>
                <w:tab w:val="clear" w:pos="216"/>
                <w:tab w:val="num" w:pos="278"/>
              </w:tabs>
              <w:kinsoku w:val="0"/>
              <w:spacing w:after="0" w:line="240" w:lineRule="auto"/>
              <w:rPr>
                <w:rFonts w:ascii="Times New Roman" w:hAnsi="Times New Roman"/>
                <w:color w:val="000000" w:themeColor="text1"/>
                <w:spacing w:val="20"/>
              </w:rPr>
            </w:pPr>
            <w:r w:rsidRPr="00A85BA0">
              <w:rPr>
                <w:rFonts w:ascii="Times New Roman" w:hAnsi="Times New Roman"/>
                <w:color w:val="000000" w:themeColor="text1"/>
                <w:spacing w:val="20"/>
                <w:sz w:val="22"/>
              </w:rPr>
              <w:t>Pemerintah</w:t>
            </w:r>
            <w:r w:rsidR="00A85BA0" w:rsidRPr="00A85BA0">
              <w:rPr>
                <w:rFonts w:ascii="Times New Roman" w:hAnsi="Times New Roman"/>
                <w:color w:val="000000" w:themeColor="text1"/>
                <w:spacing w:val="20"/>
                <w:sz w:val="22"/>
              </w:rPr>
              <w:t xml:space="preserve"> Daerah</w:t>
            </w:r>
          </w:p>
          <w:p w:rsidR="00A85BA0" w:rsidRPr="00A85BA0" w:rsidRDefault="00A85BA0" w:rsidP="00A85BA0">
            <w:pPr>
              <w:widowControl w:val="0"/>
              <w:kinsoku w:val="0"/>
              <w:spacing w:after="0" w:line="240" w:lineRule="auto"/>
              <w:ind w:left="62"/>
              <w:rPr>
                <w:rFonts w:ascii="Times New Roman" w:hAnsi="Times New Roman"/>
                <w:color w:val="000000" w:themeColor="text1"/>
                <w:spacing w:val="20"/>
                <w:szCs w:val="24"/>
              </w:rPr>
            </w:pPr>
          </w:p>
          <w:p w:rsidR="00432133" w:rsidRPr="009131DA" w:rsidRDefault="00432133" w:rsidP="00A85BA0">
            <w:pPr>
              <w:widowControl w:val="0"/>
              <w:kinsoku w:val="0"/>
              <w:spacing w:after="0" w:line="240" w:lineRule="auto"/>
              <w:ind w:left="62"/>
              <w:rPr>
                <w:rFonts w:ascii="Times New Roman" w:hAnsi="Times New Roman"/>
                <w:color w:val="000000" w:themeColor="text1"/>
                <w:spacing w:val="20"/>
                <w:szCs w:val="24"/>
              </w:rPr>
            </w:pPr>
            <w:r w:rsidRPr="009131DA">
              <w:rPr>
                <w:rFonts w:ascii="Times New Roman" w:hAnsi="Times New Roman"/>
                <w:color w:val="000000" w:themeColor="text1"/>
                <w:spacing w:val="20"/>
                <w:szCs w:val="24"/>
              </w:rPr>
              <w:t xml:space="preserve"> </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pacing w:val="10"/>
                <w:szCs w:val="24"/>
              </w:rPr>
            </w:pPr>
            <w:r w:rsidRPr="009131DA">
              <w:rPr>
                <w:rFonts w:ascii="Times New Roman" w:hAnsi="Times New Roman"/>
                <w:color w:val="000000" w:themeColor="text1"/>
                <w:spacing w:val="10"/>
                <w:szCs w:val="24"/>
              </w:rPr>
              <w:t>28.261.000</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color w:val="000000" w:themeColor="text1"/>
                <w:spacing w:val="10"/>
                <w:szCs w:val="24"/>
              </w:rPr>
            </w:pPr>
            <w:r w:rsidRPr="009131DA">
              <w:rPr>
                <w:rFonts w:ascii="Times New Roman" w:hAnsi="Times New Roman"/>
                <w:color w:val="000000" w:themeColor="text1"/>
                <w:spacing w:val="10"/>
                <w:szCs w:val="24"/>
              </w:rPr>
              <w:t>28.261.000</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1,22654</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color w:val="000000" w:themeColor="text1"/>
                <w:szCs w:val="24"/>
              </w:rPr>
            </w:pPr>
            <w:r w:rsidRPr="009131DA">
              <w:rPr>
                <w:rFonts w:ascii="Times New Roman" w:hAnsi="Times New Roman"/>
                <w:color w:val="000000" w:themeColor="text1"/>
                <w:szCs w:val="24"/>
              </w:rPr>
              <w:t>1,22654</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color w:val="000000" w:themeColor="text1"/>
                <w:szCs w:val="24"/>
                <w:lang w:val="id-ID"/>
              </w:rPr>
            </w:pPr>
            <w:r w:rsidRPr="009131DA">
              <w:rPr>
                <w:rFonts w:ascii="Times New Roman" w:hAnsi="Times New Roman"/>
                <w:color w:val="000000" w:themeColor="text1"/>
                <w:szCs w:val="24"/>
                <w:lang w:val="id-ID"/>
              </w:rPr>
              <w:t>tetap</w:t>
            </w:r>
          </w:p>
        </w:tc>
      </w:tr>
      <w:tr w:rsidR="00432133" w:rsidRPr="009131DA" w:rsidTr="00A85BA0">
        <w:trPr>
          <w:trHeight w:hRule="exact" w:val="355"/>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widowControl w:val="0"/>
              <w:numPr>
                <w:ilvl w:val="0"/>
                <w:numId w:val="1"/>
              </w:numPr>
              <w:tabs>
                <w:tab w:val="clear" w:pos="216"/>
                <w:tab w:val="num" w:pos="278"/>
              </w:tabs>
              <w:kinsoku w:val="0"/>
              <w:spacing w:after="0" w:line="240" w:lineRule="auto"/>
              <w:rPr>
                <w:rFonts w:ascii="Times New Roman" w:hAnsi="Times New Roman"/>
                <w:color w:val="000000" w:themeColor="text1"/>
                <w:spacing w:val="16"/>
                <w:szCs w:val="24"/>
              </w:rPr>
            </w:pPr>
            <w:r w:rsidRPr="009131DA">
              <w:rPr>
                <w:rFonts w:ascii="Times New Roman" w:hAnsi="Times New Roman"/>
                <w:color w:val="000000" w:themeColor="text1"/>
                <w:spacing w:val="16"/>
                <w:szCs w:val="24"/>
              </w:rPr>
              <w:t>Karyawan</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zCs w:val="24"/>
              </w:rPr>
            </w:pPr>
            <w:r w:rsidRPr="009131DA">
              <w:rPr>
                <w:rFonts w:ascii="Times New Roman" w:hAnsi="Times New Roman"/>
                <w:color w:val="000000" w:themeColor="text1"/>
                <w:szCs w:val="24"/>
              </w:rPr>
              <w:t>8.000</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color w:val="000000" w:themeColor="text1"/>
                <w:szCs w:val="24"/>
              </w:rPr>
            </w:pPr>
            <w:r w:rsidRPr="009131DA">
              <w:rPr>
                <w:rFonts w:ascii="Times New Roman" w:hAnsi="Times New Roman"/>
                <w:color w:val="000000" w:themeColor="text1"/>
                <w:szCs w:val="24"/>
              </w:rPr>
              <w:t>25.000</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color w:val="000000" w:themeColor="text1"/>
                <w:spacing w:val="18"/>
                <w:szCs w:val="24"/>
              </w:rPr>
            </w:pPr>
            <w:r w:rsidRPr="009131DA">
              <w:rPr>
                <w:rFonts w:ascii="Times New Roman" w:hAnsi="Times New Roman"/>
                <w:color w:val="000000" w:themeColor="text1"/>
                <w:spacing w:val="18"/>
                <w:szCs w:val="24"/>
              </w:rPr>
              <w:t>0,00035</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color w:val="000000" w:themeColor="text1"/>
                <w:szCs w:val="24"/>
              </w:rPr>
            </w:pPr>
            <w:r w:rsidRPr="009131DA">
              <w:rPr>
                <w:rFonts w:ascii="Times New Roman" w:hAnsi="Times New Roman"/>
                <w:color w:val="000000" w:themeColor="text1"/>
                <w:szCs w:val="24"/>
              </w:rPr>
              <w:t>0,00109</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color w:val="000000" w:themeColor="text1"/>
                <w:szCs w:val="24"/>
              </w:rPr>
            </w:pPr>
            <w:r w:rsidRPr="009131DA">
              <w:rPr>
                <w:rFonts w:ascii="Times New Roman" w:hAnsi="Times New Roman"/>
                <w:color w:val="000000" w:themeColor="text1"/>
                <w:szCs w:val="24"/>
                <w:lang w:val="id-ID"/>
              </w:rPr>
              <w:t>menurun</w:t>
            </w:r>
          </w:p>
        </w:tc>
      </w:tr>
      <w:tr w:rsidR="00432133" w:rsidRPr="009131DA" w:rsidTr="00A85BA0">
        <w:trPr>
          <w:trHeight w:hRule="exact" w:val="356"/>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widowControl w:val="0"/>
              <w:numPr>
                <w:ilvl w:val="0"/>
                <w:numId w:val="1"/>
              </w:numPr>
              <w:tabs>
                <w:tab w:val="clear" w:pos="216"/>
                <w:tab w:val="num" w:pos="278"/>
              </w:tabs>
              <w:kinsoku w:val="0"/>
              <w:spacing w:after="0" w:line="240" w:lineRule="auto"/>
              <w:rPr>
                <w:rFonts w:ascii="Times New Roman" w:hAnsi="Times New Roman"/>
                <w:color w:val="000000" w:themeColor="text1"/>
                <w:spacing w:val="16"/>
                <w:szCs w:val="24"/>
              </w:rPr>
            </w:pPr>
            <w:r w:rsidRPr="009131DA">
              <w:rPr>
                <w:rFonts w:ascii="Times New Roman" w:hAnsi="Times New Roman"/>
                <w:color w:val="000000" w:themeColor="text1"/>
                <w:spacing w:val="16"/>
                <w:szCs w:val="24"/>
              </w:rPr>
              <w:t>Koperasi</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zCs w:val="24"/>
              </w:rPr>
            </w:pPr>
            <w:r w:rsidRPr="009131DA">
              <w:rPr>
                <w:rFonts w:ascii="Times New Roman" w:hAnsi="Times New Roman"/>
                <w:color w:val="000000" w:themeColor="text1"/>
                <w:szCs w:val="24"/>
              </w:rPr>
              <w:t>70.000</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color w:val="000000" w:themeColor="text1"/>
                <w:szCs w:val="24"/>
              </w:rPr>
            </w:pPr>
            <w:r w:rsidRPr="009131DA">
              <w:rPr>
                <w:rFonts w:ascii="Times New Roman" w:hAnsi="Times New Roman"/>
                <w:color w:val="000000" w:themeColor="text1"/>
                <w:szCs w:val="24"/>
              </w:rPr>
              <w:t>65.000</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0,0034</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color w:val="000000" w:themeColor="text1"/>
                <w:spacing w:val="14"/>
                <w:szCs w:val="24"/>
              </w:rPr>
            </w:pPr>
            <w:r w:rsidRPr="009131DA">
              <w:rPr>
                <w:rFonts w:ascii="Times New Roman" w:hAnsi="Times New Roman"/>
                <w:color w:val="000000" w:themeColor="text1"/>
                <w:spacing w:val="14"/>
                <w:szCs w:val="24"/>
              </w:rPr>
              <w:t>0,00282</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color w:val="000000" w:themeColor="text1"/>
                <w:spacing w:val="14"/>
                <w:szCs w:val="24"/>
              </w:rPr>
            </w:pPr>
            <w:r w:rsidRPr="009131DA">
              <w:rPr>
                <w:rFonts w:ascii="Times New Roman" w:hAnsi="Times New Roman"/>
                <w:color w:val="000000" w:themeColor="text1"/>
                <w:szCs w:val="24"/>
                <w:lang w:val="id-ID"/>
              </w:rPr>
              <w:t>meningkat</w:t>
            </w:r>
          </w:p>
        </w:tc>
      </w:tr>
      <w:tr w:rsidR="00432133" w:rsidRPr="009131DA" w:rsidTr="00A85BA0">
        <w:trPr>
          <w:trHeight w:hRule="exact" w:val="355"/>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widowControl w:val="0"/>
              <w:numPr>
                <w:ilvl w:val="0"/>
                <w:numId w:val="1"/>
              </w:numPr>
              <w:tabs>
                <w:tab w:val="clear" w:pos="216"/>
                <w:tab w:val="num" w:pos="278"/>
              </w:tabs>
              <w:kinsoku w:val="0"/>
              <w:spacing w:after="0" w:line="240" w:lineRule="auto"/>
              <w:rPr>
                <w:rFonts w:ascii="Times New Roman" w:hAnsi="Times New Roman"/>
                <w:color w:val="000000" w:themeColor="text1"/>
                <w:spacing w:val="12"/>
                <w:szCs w:val="24"/>
              </w:rPr>
            </w:pPr>
            <w:r w:rsidRPr="009131DA">
              <w:rPr>
                <w:rFonts w:ascii="Times New Roman" w:hAnsi="Times New Roman"/>
                <w:color w:val="000000" w:themeColor="text1"/>
                <w:spacing w:val="12"/>
                <w:szCs w:val="24"/>
              </w:rPr>
              <w:t>Yayasan</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pacing w:val="12"/>
                <w:szCs w:val="24"/>
              </w:rPr>
            </w:pPr>
            <w:r w:rsidRPr="009131DA">
              <w:rPr>
                <w:rFonts w:ascii="Times New Roman" w:hAnsi="Times New Roman"/>
                <w:color w:val="000000" w:themeColor="text1"/>
                <w:spacing w:val="12"/>
                <w:szCs w:val="24"/>
              </w:rPr>
              <w:t>3.363.500</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color w:val="000000" w:themeColor="text1"/>
                <w:spacing w:val="12"/>
                <w:szCs w:val="24"/>
              </w:rPr>
            </w:pPr>
            <w:r w:rsidRPr="009131DA">
              <w:rPr>
                <w:rFonts w:ascii="Times New Roman" w:hAnsi="Times New Roman"/>
                <w:color w:val="000000" w:themeColor="text1"/>
                <w:spacing w:val="12"/>
                <w:szCs w:val="24"/>
              </w:rPr>
              <w:t>3.836.500</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0,14598</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color w:val="000000" w:themeColor="text1"/>
                <w:szCs w:val="24"/>
              </w:rPr>
            </w:pPr>
            <w:r w:rsidRPr="009131DA">
              <w:rPr>
                <w:rFonts w:ascii="Times New Roman" w:hAnsi="Times New Roman"/>
                <w:color w:val="000000" w:themeColor="text1"/>
                <w:szCs w:val="24"/>
              </w:rPr>
              <w:t>0,16651</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color w:val="000000" w:themeColor="text1"/>
                <w:szCs w:val="24"/>
              </w:rPr>
            </w:pPr>
            <w:r w:rsidRPr="009131DA">
              <w:rPr>
                <w:rFonts w:ascii="Times New Roman" w:hAnsi="Times New Roman"/>
                <w:color w:val="000000" w:themeColor="text1"/>
                <w:szCs w:val="24"/>
                <w:lang w:val="id-ID"/>
              </w:rPr>
              <w:t>menurun</w:t>
            </w:r>
          </w:p>
        </w:tc>
      </w:tr>
      <w:tr w:rsidR="00432133" w:rsidRPr="009131DA" w:rsidTr="00A85BA0">
        <w:trPr>
          <w:trHeight w:hRule="exact" w:val="355"/>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widowControl w:val="0"/>
              <w:numPr>
                <w:ilvl w:val="0"/>
                <w:numId w:val="1"/>
              </w:numPr>
              <w:tabs>
                <w:tab w:val="clear" w:pos="216"/>
                <w:tab w:val="num" w:pos="278"/>
              </w:tabs>
              <w:kinsoku w:val="0"/>
              <w:spacing w:after="0" w:line="240" w:lineRule="auto"/>
              <w:rPr>
                <w:rFonts w:ascii="Times New Roman" w:hAnsi="Times New Roman"/>
                <w:color w:val="000000" w:themeColor="text1"/>
                <w:spacing w:val="14"/>
                <w:szCs w:val="24"/>
              </w:rPr>
            </w:pPr>
            <w:r w:rsidRPr="009131DA">
              <w:rPr>
                <w:rFonts w:ascii="Times New Roman" w:hAnsi="Times New Roman"/>
                <w:color w:val="000000" w:themeColor="text1"/>
                <w:spacing w:val="14"/>
                <w:szCs w:val="24"/>
              </w:rPr>
              <w:t>Dana Pensiun</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pacing w:val="10"/>
                <w:szCs w:val="24"/>
              </w:rPr>
            </w:pPr>
            <w:r w:rsidRPr="009131DA">
              <w:rPr>
                <w:rFonts w:ascii="Times New Roman" w:hAnsi="Times New Roman"/>
                <w:color w:val="000000" w:themeColor="text1"/>
                <w:spacing w:val="10"/>
                <w:szCs w:val="24"/>
              </w:rPr>
              <w:t>35.377.500</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color w:val="000000" w:themeColor="text1"/>
                <w:spacing w:val="10"/>
                <w:szCs w:val="24"/>
              </w:rPr>
            </w:pPr>
            <w:r w:rsidRPr="009131DA">
              <w:rPr>
                <w:rFonts w:ascii="Times New Roman" w:hAnsi="Times New Roman"/>
                <w:color w:val="000000" w:themeColor="text1"/>
                <w:spacing w:val="10"/>
                <w:szCs w:val="24"/>
              </w:rPr>
              <w:t>33.891.000</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1,53539</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color w:val="000000" w:themeColor="text1"/>
                <w:szCs w:val="24"/>
              </w:rPr>
            </w:pPr>
            <w:r w:rsidRPr="009131DA">
              <w:rPr>
                <w:rFonts w:ascii="Times New Roman" w:hAnsi="Times New Roman"/>
                <w:color w:val="000000" w:themeColor="text1"/>
                <w:szCs w:val="24"/>
              </w:rPr>
              <w:t>1,47088</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color w:val="000000" w:themeColor="text1"/>
                <w:szCs w:val="24"/>
              </w:rPr>
            </w:pPr>
            <w:r w:rsidRPr="009131DA">
              <w:rPr>
                <w:rFonts w:ascii="Times New Roman" w:hAnsi="Times New Roman"/>
                <w:color w:val="000000" w:themeColor="text1"/>
                <w:szCs w:val="24"/>
                <w:lang w:val="id-ID"/>
              </w:rPr>
              <w:t>meningkat</w:t>
            </w:r>
          </w:p>
        </w:tc>
      </w:tr>
      <w:tr w:rsidR="00432133" w:rsidRPr="009131DA" w:rsidTr="00A85BA0">
        <w:trPr>
          <w:trHeight w:hRule="exact" w:val="355"/>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widowControl w:val="0"/>
              <w:numPr>
                <w:ilvl w:val="0"/>
                <w:numId w:val="1"/>
              </w:numPr>
              <w:tabs>
                <w:tab w:val="clear" w:pos="216"/>
                <w:tab w:val="num" w:pos="278"/>
              </w:tabs>
              <w:kinsoku w:val="0"/>
              <w:spacing w:after="0" w:line="240" w:lineRule="auto"/>
              <w:rPr>
                <w:rFonts w:ascii="Times New Roman" w:hAnsi="Times New Roman"/>
                <w:color w:val="000000" w:themeColor="text1"/>
                <w:spacing w:val="16"/>
                <w:szCs w:val="24"/>
              </w:rPr>
            </w:pPr>
            <w:r w:rsidRPr="009131DA">
              <w:rPr>
                <w:rFonts w:ascii="Times New Roman" w:hAnsi="Times New Roman"/>
                <w:color w:val="000000" w:themeColor="text1"/>
                <w:spacing w:val="16"/>
                <w:szCs w:val="24"/>
              </w:rPr>
              <w:t>Asuransi</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pacing w:val="16"/>
                <w:szCs w:val="24"/>
              </w:rPr>
            </w:pPr>
            <w:r w:rsidRPr="009131DA">
              <w:rPr>
                <w:rFonts w:ascii="Times New Roman" w:hAnsi="Times New Roman"/>
                <w:color w:val="000000" w:themeColor="text1"/>
                <w:spacing w:val="16"/>
                <w:szCs w:val="24"/>
              </w:rPr>
              <w:t>76.606.000</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color w:val="000000" w:themeColor="text1"/>
                <w:spacing w:val="10"/>
                <w:szCs w:val="24"/>
              </w:rPr>
            </w:pPr>
            <w:r w:rsidRPr="009131DA">
              <w:rPr>
                <w:rFonts w:ascii="Times New Roman" w:hAnsi="Times New Roman"/>
                <w:color w:val="000000" w:themeColor="text1"/>
                <w:spacing w:val="10"/>
                <w:szCs w:val="24"/>
              </w:rPr>
              <w:t>85.481.500</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3,32472</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color w:val="000000" w:themeColor="text1"/>
                <w:szCs w:val="24"/>
              </w:rPr>
            </w:pPr>
            <w:r w:rsidRPr="009131DA">
              <w:rPr>
                <w:rFonts w:ascii="Times New Roman" w:hAnsi="Times New Roman"/>
                <w:color w:val="000000" w:themeColor="text1"/>
                <w:szCs w:val="24"/>
              </w:rPr>
              <w:t>3,70992</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color w:val="000000" w:themeColor="text1"/>
                <w:szCs w:val="24"/>
              </w:rPr>
            </w:pPr>
            <w:r w:rsidRPr="009131DA">
              <w:rPr>
                <w:rFonts w:ascii="Times New Roman" w:hAnsi="Times New Roman"/>
                <w:color w:val="000000" w:themeColor="text1"/>
                <w:szCs w:val="24"/>
                <w:lang w:val="id-ID"/>
              </w:rPr>
              <w:t>menurun</w:t>
            </w:r>
          </w:p>
        </w:tc>
      </w:tr>
      <w:tr w:rsidR="00432133" w:rsidRPr="009131DA" w:rsidTr="00A85BA0">
        <w:trPr>
          <w:trHeight w:hRule="exact" w:val="355"/>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widowControl w:val="0"/>
              <w:numPr>
                <w:ilvl w:val="0"/>
                <w:numId w:val="1"/>
              </w:numPr>
              <w:tabs>
                <w:tab w:val="clear" w:pos="216"/>
                <w:tab w:val="num" w:pos="278"/>
              </w:tabs>
              <w:kinsoku w:val="0"/>
              <w:spacing w:after="0" w:line="240" w:lineRule="auto"/>
              <w:rPr>
                <w:rFonts w:ascii="Times New Roman" w:hAnsi="Times New Roman"/>
                <w:color w:val="000000" w:themeColor="text1"/>
                <w:spacing w:val="16"/>
                <w:szCs w:val="24"/>
              </w:rPr>
            </w:pPr>
            <w:r w:rsidRPr="009131DA">
              <w:rPr>
                <w:rFonts w:ascii="Times New Roman" w:hAnsi="Times New Roman"/>
                <w:color w:val="000000" w:themeColor="text1"/>
                <w:spacing w:val="16"/>
                <w:szCs w:val="24"/>
              </w:rPr>
              <w:t>Bank</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zCs w:val="24"/>
              </w:rPr>
            </w:pPr>
            <w:r w:rsidRPr="009131DA">
              <w:rPr>
                <w:rFonts w:ascii="Times New Roman" w:hAnsi="Times New Roman"/>
                <w:color w:val="000000" w:themeColor="text1"/>
                <w:szCs w:val="24"/>
              </w:rPr>
              <w:t>-</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color w:val="000000" w:themeColor="text1"/>
                <w:szCs w:val="24"/>
              </w:rPr>
            </w:pPr>
            <w:r w:rsidRPr="009131DA">
              <w:rPr>
                <w:rFonts w:ascii="Times New Roman" w:hAnsi="Times New Roman"/>
                <w:color w:val="000000" w:themeColor="text1"/>
                <w:szCs w:val="24"/>
              </w:rPr>
              <w:t>-</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color w:val="000000" w:themeColor="text1"/>
                <w:spacing w:val="8"/>
                <w:szCs w:val="24"/>
              </w:rPr>
            </w:pPr>
            <w:r w:rsidRPr="009131DA">
              <w:rPr>
                <w:rFonts w:ascii="Times New Roman" w:hAnsi="Times New Roman"/>
                <w:color w:val="000000" w:themeColor="text1"/>
                <w:spacing w:val="8"/>
                <w:szCs w:val="24"/>
              </w:rPr>
              <w:t>0,00000</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color w:val="000000" w:themeColor="text1"/>
                <w:spacing w:val="8"/>
                <w:szCs w:val="24"/>
              </w:rPr>
            </w:pPr>
            <w:r w:rsidRPr="009131DA">
              <w:rPr>
                <w:rFonts w:ascii="Times New Roman" w:hAnsi="Times New Roman"/>
                <w:color w:val="000000" w:themeColor="text1"/>
                <w:spacing w:val="8"/>
                <w:szCs w:val="24"/>
              </w:rPr>
              <w:t>0,00000</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color w:val="000000" w:themeColor="text1"/>
                <w:spacing w:val="8"/>
                <w:szCs w:val="24"/>
              </w:rPr>
            </w:pPr>
          </w:p>
        </w:tc>
      </w:tr>
      <w:tr w:rsidR="00432133" w:rsidRPr="009131DA" w:rsidTr="00A85BA0">
        <w:trPr>
          <w:trHeight w:hRule="exact" w:val="356"/>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widowControl w:val="0"/>
              <w:numPr>
                <w:ilvl w:val="0"/>
                <w:numId w:val="1"/>
              </w:numPr>
              <w:tabs>
                <w:tab w:val="clear" w:pos="216"/>
                <w:tab w:val="num" w:pos="278"/>
              </w:tabs>
              <w:kinsoku w:val="0"/>
              <w:spacing w:after="0" w:line="240" w:lineRule="auto"/>
              <w:rPr>
                <w:rFonts w:ascii="Times New Roman" w:hAnsi="Times New Roman"/>
                <w:color w:val="000000" w:themeColor="text1"/>
                <w:spacing w:val="18"/>
                <w:szCs w:val="24"/>
              </w:rPr>
            </w:pPr>
            <w:r w:rsidRPr="009131DA">
              <w:rPr>
                <w:rFonts w:ascii="Times New Roman" w:hAnsi="Times New Roman"/>
                <w:color w:val="000000" w:themeColor="text1"/>
                <w:spacing w:val="18"/>
                <w:szCs w:val="24"/>
              </w:rPr>
              <w:t>Perseroan Terbatas</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pacing w:val="6"/>
                <w:szCs w:val="24"/>
              </w:rPr>
            </w:pPr>
            <w:r w:rsidRPr="009131DA">
              <w:rPr>
                <w:rFonts w:ascii="Times New Roman" w:hAnsi="Times New Roman"/>
                <w:color w:val="000000" w:themeColor="text1"/>
                <w:spacing w:val="6"/>
                <w:szCs w:val="24"/>
              </w:rPr>
              <w:t>115.944.402</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color w:val="000000" w:themeColor="text1"/>
                <w:szCs w:val="24"/>
              </w:rPr>
            </w:pPr>
            <w:r w:rsidRPr="009131DA">
              <w:rPr>
                <w:rFonts w:ascii="Times New Roman" w:hAnsi="Times New Roman"/>
                <w:color w:val="000000" w:themeColor="text1"/>
                <w:szCs w:val="24"/>
              </w:rPr>
              <w:t>100.941.195</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5,03202</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color w:val="000000" w:themeColor="text1"/>
                <w:spacing w:val="14"/>
                <w:szCs w:val="24"/>
              </w:rPr>
            </w:pPr>
            <w:r w:rsidRPr="009131DA">
              <w:rPr>
                <w:rFonts w:ascii="Times New Roman" w:hAnsi="Times New Roman"/>
                <w:color w:val="000000" w:themeColor="text1"/>
                <w:spacing w:val="14"/>
                <w:szCs w:val="24"/>
              </w:rPr>
              <w:t>4,38088</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color w:val="000000" w:themeColor="text1"/>
                <w:spacing w:val="14"/>
                <w:szCs w:val="24"/>
              </w:rPr>
            </w:pPr>
            <w:r w:rsidRPr="009131DA">
              <w:rPr>
                <w:rFonts w:ascii="Times New Roman" w:hAnsi="Times New Roman"/>
                <w:color w:val="000000" w:themeColor="text1"/>
                <w:szCs w:val="24"/>
                <w:lang w:val="id-ID"/>
              </w:rPr>
              <w:t>meningkat</w:t>
            </w:r>
          </w:p>
        </w:tc>
      </w:tr>
      <w:tr w:rsidR="00432133" w:rsidRPr="009131DA" w:rsidTr="00A85BA0">
        <w:trPr>
          <w:trHeight w:hRule="exact" w:val="355"/>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widowControl w:val="0"/>
              <w:numPr>
                <w:ilvl w:val="0"/>
                <w:numId w:val="1"/>
              </w:numPr>
              <w:tabs>
                <w:tab w:val="clear" w:pos="216"/>
                <w:tab w:val="num" w:pos="278"/>
              </w:tabs>
              <w:kinsoku w:val="0"/>
              <w:spacing w:after="0" w:line="240" w:lineRule="auto"/>
              <w:rPr>
                <w:rFonts w:ascii="Times New Roman" w:hAnsi="Times New Roman"/>
                <w:color w:val="000000" w:themeColor="text1"/>
                <w:spacing w:val="14"/>
                <w:szCs w:val="24"/>
              </w:rPr>
            </w:pPr>
            <w:r w:rsidRPr="009131DA">
              <w:rPr>
                <w:rFonts w:ascii="Times New Roman" w:hAnsi="Times New Roman"/>
                <w:color w:val="000000" w:themeColor="text1"/>
                <w:spacing w:val="14"/>
                <w:szCs w:val="24"/>
              </w:rPr>
              <w:t>Reksadana</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pacing w:val="8"/>
                <w:szCs w:val="24"/>
              </w:rPr>
            </w:pPr>
            <w:r w:rsidRPr="009131DA">
              <w:rPr>
                <w:rFonts w:ascii="Times New Roman" w:hAnsi="Times New Roman"/>
                <w:color w:val="000000" w:themeColor="text1"/>
                <w:spacing w:val="8"/>
                <w:szCs w:val="24"/>
              </w:rPr>
              <w:t>62.027.653</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color w:val="000000" w:themeColor="text1"/>
                <w:spacing w:val="8"/>
                <w:szCs w:val="24"/>
              </w:rPr>
            </w:pPr>
            <w:r w:rsidRPr="009131DA">
              <w:rPr>
                <w:rFonts w:ascii="Times New Roman" w:hAnsi="Times New Roman"/>
                <w:color w:val="000000" w:themeColor="text1"/>
                <w:spacing w:val="8"/>
                <w:szCs w:val="24"/>
              </w:rPr>
              <w:t>70.186.094</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2,69202</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color w:val="000000" w:themeColor="text1"/>
                <w:szCs w:val="24"/>
              </w:rPr>
            </w:pPr>
            <w:r w:rsidRPr="009131DA">
              <w:rPr>
                <w:rFonts w:ascii="Times New Roman" w:hAnsi="Times New Roman"/>
                <w:color w:val="000000" w:themeColor="text1"/>
                <w:szCs w:val="24"/>
              </w:rPr>
              <w:t>3,04610</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color w:val="000000" w:themeColor="text1"/>
                <w:szCs w:val="24"/>
              </w:rPr>
            </w:pPr>
            <w:r w:rsidRPr="009131DA">
              <w:rPr>
                <w:rFonts w:ascii="Times New Roman" w:hAnsi="Times New Roman"/>
                <w:color w:val="000000" w:themeColor="text1"/>
                <w:szCs w:val="24"/>
                <w:lang w:val="id-ID"/>
              </w:rPr>
              <w:t>menurun</w:t>
            </w:r>
          </w:p>
        </w:tc>
      </w:tr>
      <w:tr w:rsidR="00432133" w:rsidRPr="009131DA" w:rsidTr="00F653F7">
        <w:trPr>
          <w:trHeight w:hRule="exact" w:val="760"/>
        </w:trPr>
        <w:tc>
          <w:tcPr>
            <w:tcW w:w="2458" w:type="dxa"/>
            <w:tcBorders>
              <w:top w:val="single" w:sz="4" w:space="0" w:color="auto"/>
              <w:left w:val="nil"/>
              <w:bottom w:val="single" w:sz="4" w:space="0" w:color="auto"/>
              <w:right w:val="single" w:sz="4" w:space="0" w:color="auto"/>
            </w:tcBorders>
            <w:vAlign w:val="center"/>
          </w:tcPr>
          <w:p w:rsidR="00432133" w:rsidRPr="00F653F7" w:rsidRDefault="00432133" w:rsidP="00A85BA0">
            <w:pPr>
              <w:ind w:left="62"/>
              <w:rPr>
                <w:rFonts w:ascii="Times New Roman" w:hAnsi="Times New Roman"/>
                <w:b/>
                <w:bCs/>
                <w:color w:val="000000" w:themeColor="text1"/>
                <w:w w:val="110"/>
                <w:lang w:val="id-ID"/>
              </w:rPr>
            </w:pPr>
            <w:r w:rsidRPr="00F653F7">
              <w:rPr>
                <w:rFonts w:ascii="Times New Roman" w:hAnsi="Times New Roman"/>
                <w:b/>
                <w:bCs/>
                <w:color w:val="000000" w:themeColor="text1"/>
                <w:w w:val="110"/>
                <w:sz w:val="22"/>
              </w:rPr>
              <w:t>Subtotal</w:t>
            </w:r>
            <w:r w:rsidRPr="00F653F7">
              <w:rPr>
                <w:rFonts w:ascii="Times New Roman" w:hAnsi="Times New Roman"/>
                <w:b/>
                <w:bCs/>
                <w:color w:val="000000" w:themeColor="text1"/>
                <w:w w:val="110"/>
                <w:sz w:val="22"/>
                <w:lang w:val="id-ID"/>
              </w:rPr>
              <w:t xml:space="preserve"> Dalam Negeri</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F653F7" w:rsidRDefault="00432133" w:rsidP="00A85BA0">
            <w:pPr>
              <w:ind w:right="58"/>
              <w:jc w:val="right"/>
              <w:rPr>
                <w:rFonts w:ascii="Times New Roman" w:hAnsi="Times New Roman"/>
                <w:b/>
                <w:bCs/>
                <w:color w:val="000000" w:themeColor="text1"/>
                <w:spacing w:val="-8"/>
                <w:w w:val="110"/>
              </w:rPr>
            </w:pPr>
            <w:r w:rsidRPr="00F653F7">
              <w:rPr>
                <w:rFonts w:ascii="Times New Roman" w:hAnsi="Times New Roman"/>
                <w:b/>
                <w:bCs/>
                <w:color w:val="000000" w:themeColor="text1"/>
                <w:spacing w:val="-8"/>
                <w:w w:val="110"/>
                <w:sz w:val="22"/>
              </w:rPr>
              <w:t>1.871.068.677</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F653F7" w:rsidRDefault="00432133" w:rsidP="00A85BA0">
            <w:pPr>
              <w:ind w:right="58"/>
              <w:jc w:val="right"/>
              <w:rPr>
                <w:rFonts w:ascii="Times New Roman" w:hAnsi="Times New Roman"/>
                <w:b/>
                <w:bCs/>
                <w:color w:val="000000" w:themeColor="text1"/>
                <w:spacing w:val="-6"/>
                <w:w w:val="110"/>
              </w:rPr>
            </w:pPr>
            <w:r w:rsidRPr="00F653F7">
              <w:rPr>
                <w:rFonts w:ascii="Times New Roman" w:hAnsi="Times New Roman"/>
                <w:b/>
                <w:bCs/>
                <w:color w:val="000000" w:themeColor="text1"/>
                <w:spacing w:val="-6"/>
                <w:w w:val="110"/>
                <w:sz w:val="22"/>
              </w:rPr>
              <w:t>1.872.293.043</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F653F7" w:rsidRDefault="00432133" w:rsidP="00A85BA0">
            <w:pPr>
              <w:ind w:right="62"/>
              <w:jc w:val="right"/>
              <w:rPr>
                <w:rFonts w:ascii="Times New Roman" w:hAnsi="Times New Roman"/>
                <w:b/>
                <w:bCs/>
                <w:color w:val="000000" w:themeColor="text1"/>
                <w:w w:val="110"/>
              </w:rPr>
            </w:pPr>
            <w:r w:rsidRPr="00F653F7">
              <w:rPr>
                <w:rFonts w:ascii="Times New Roman" w:hAnsi="Times New Roman"/>
                <w:b/>
                <w:bCs/>
                <w:color w:val="000000" w:themeColor="text1"/>
                <w:w w:val="110"/>
                <w:sz w:val="22"/>
              </w:rPr>
              <w:t>81,20493</w:t>
            </w:r>
          </w:p>
        </w:tc>
        <w:tc>
          <w:tcPr>
            <w:tcW w:w="1162" w:type="dxa"/>
            <w:tcBorders>
              <w:top w:val="single" w:sz="4" w:space="0" w:color="auto"/>
              <w:left w:val="single" w:sz="4" w:space="0" w:color="auto"/>
              <w:bottom w:val="single" w:sz="4" w:space="0" w:color="auto"/>
              <w:right w:val="nil"/>
            </w:tcBorders>
            <w:vAlign w:val="center"/>
          </w:tcPr>
          <w:p w:rsidR="00432133" w:rsidRPr="00F653F7" w:rsidRDefault="00432133" w:rsidP="00A85BA0">
            <w:pPr>
              <w:ind w:right="68"/>
              <w:jc w:val="right"/>
              <w:rPr>
                <w:rFonts w:ascii="Times New Roman" w:hAnsi="Times New Roman"/>
                <w:color w:val="000000" w:themeColor="text1"/>
              </w:rPr>
            </w:pPr>
            <w:r w:rsidRPr="00F653F7">
              <w:rPr>
                <w:rFonts w:ascii="Times New Roman" w:hAnsi="Times New Roman"/>
                <w:color w:val="000000" w:themeColor="text1"/>
                <w:sz w:val="22"/>
              </w:rPr>
              <w:t>81,25806</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color w:val="000000" w:themeColor="text1"/>
                <w:szCs w:val="24"/>
              </w:rPr>
            </w:pPr>
            <w:r w:rsidRPr="009131DA">
              <w:rPr>
                <w:rFonts w:ascii="Times New Roman" w:hAnsi="Times New Roman"/>
                <w:color w:val="000000" w:themeColor="text1"/>
                <w:szCs w:val="24"/>
                <w:lang w:val="id-ID"/>
              </w:rPr>
              <w:t>menurun</w:t>
            </w:r>
          </w:p>
        </w:tc>
      </w:tr>
      <w:tr w:rsidR="00432133" w:rsidRPr="009131DA" w:rsidTr="00F653F7">
        <w:trPr>
          <w:trHeight w:hRule="exact" w:val="379"/>
        </w:trPr>
        <w:tc>
          <w:tcPr>
            <w:tcW w:w="2458"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432133" w:rsidRPr="009131DA" w:rsidRDefault="00432133" w:rsidP="00A85BA0">
            <w:pPr>
              <w:ind w:left="62"/>
              <w:rPr>
                <w:rFonts w:ascii="Times New Roman" w:hAnsi="Times New Roman"/>
                <w:b/>
                <w:bCs/>
                <w:color w:val="000000" w:themeColor="text1"/>
                <w:spacing w:val="6"/>
                <w:szCs w:val="24"/>
              </w:rPr>
            </w:pPr>
            <w:r w:rsidRPr="009131DA">
              <w:rPr>
                <w:rFonts w:ascii="Times New Roman" w:hAnsi="Times New Roman"/>
                <w:b/>
                <w:bCs/>
                <w:color w:val="000000" w:themeColor="text1"/>
                <w:spacing w:val="6"/>
                <w:szCs w:val="24"/>
              </w:rPr>
              <w:t>Pemodal Asing</w:t>
            </w:r>
          </w:p>
        </w:tc>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32133" w:rsidRPr="009131DA" w:rsidRDefault="00432133" w:rsidP="00A85BA0">
            <w:pPr>
              <w:rPr>
                <w:rFonts w:ascii="Times New Roman" w:hAnsi="Times New Roman"/>
                <w:color w:val="000000" w:themeColor="text1"/>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32133" w:rsidRPr="009131DA" w:rsidRDefault="00432133" w:rsidP="00A85BA0">
            <w:pPr>
              <w:rPr>
                <w:rFonts w:ascii="Times New Roman" w:hAnsi="Times New Roman"/>
                <w:color w:val="000000" w:themeColor="text1"/>
                <w:szCs w:val="24"/>
              </w:rPr>
            </w:pPr>
          </w:p>
        </w:tc>
        <w:tc>
          <w:tcPr>
            <w:tcW w:w="12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32133" w:rsidRPr="009131DA" w:rsidRDefault="00432133" w:rsidP="00A85BA0">
            <w:pPr>
              <w:rPr>
                <w:rFonts w:ascii="Times New Roman" w:hAnsi="Times New Roman"/>
                <w:color w:val="000000" w:themeColor="text1"/>
                <w:szCs w:val="24"/>
              </w:rPr>
            </w:pPr>
          </w:p>
        </w:tc>
        <w:tc>
          <w:tcPr>
            <w:tcW w:w="1162" w:type="dxa"/>
            <w:tcBorders>
              <w:top w:val="single" w:sz="4" w:space="0" w:color="auto"/>
              <w:left w:val="single" w:sz="4" w:space="0" w:color="auto"/>
              <w:bottom w:val="single" w:sz="4" w:space="0" w:color="auto"/>
              <w:right w:val="nil"/>
            </w:tcBorders>
            <w:shd w:val="clear" w:color="auto" w:fill="D6E3BC" w:themeFill="accent3" w:themeFillTint="66"/>
          </w:tcPr>
          <w:p w:rsidR="00432133" w:rsidRPr="009131DA" w:rsidRDefault="00432133" w:rsidP="00A85BA0">
            <w:pPr>
              <w:rPr>
                <w:rFonts w:ascii="Times New Roman" w:hAnsi="Times New Roman"/>
                <w:color w:val="000000" w:themeColor="text1"/>
                <w:szCs w:val="24"/>
              </w:rPr>
            </w:pPr>
          </w:p>
        </w:tc>
        <w:tc>
          <w:tcPr>
            <w:tcW w:w="1162" w:type="dxa"/>
            <w:tcBorders>
              <w:top w:val="single" w:sz="4" w:space="0" w:color="auto"/>
              <w:left w:val="single" w:sz="4" w:space="0" w:color="auto"/>
              <w:bottom w:val="single" w:sz="4" w:space="0" w:color="auto"/>
              <w:right w:val="nil"/>
            </w:tcBorders>
            <w:shd w:val="clear" w:color="auto" w:fill="D6E3BC" w:themeFill="accent3" w:themeFillTint="66"/>
          </w:tcPr>
          <w:p w:rsidR="00432133" w:rsidRPr="009131DA" w:rsidRDefault="00432133" w:rsidP="00A85BA0">
            <w:pPr>
              <w:rPr>
                <w:rFonts w:ascii="Times New Roman" w:hAnsi="Times New Roman"/>
                <w:color w:val="000000" w:themeColor="text1"/>
                <w:szCs w:val="24"/>
              </w:rPr>
            </w:pPr>
          </w:p>
        </w:tc>
      </w:tr>
      <w:tr w:rsidR="00432133" w:rsidRPr="009131DA" w:rsidTr="00A85BA0">
        <w:trPr>
          <w:trHeight w:hRule="exact" w:val="351"/>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ind w:left="62"/>
              <w:rPr>
                <w:rFonts w:ascii="Times New Roman" w:hAnsi="Times New Roman"/>
                <w:color w:val="000000" w:themeColor="text1"/>
                <w:spacing w:val="12"/>
                <w:szCs w:val="24"/>
              </w:rPr>
            </w:pPr>
            <w:r w:rsidRPr="009131DA">
              <w:rPr>
                <w:rFonts w:ascii="Times New Roman" w:hAnsi="Times New Roman"/>
                <w:color w:val="000000" w:themeColor="text1"/>
                <w:spacing w:val="12"/>
                <w:szCs w:val="24"/>
              </w:rPr>
              <w:t>- Perorangan Asing</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zCs w:val="24"/>
              </w:rPr>
            </w:pPr>
            <w:r w:rsidRPr="009131DA">
              <w:rPr>
                <w:rFonts w:ascii="Times New Roman" w:hAnsi="Times New Roman"/>
                <w:color w:val="000000" w:themeColor="text1"/>
                <w:szCs w:val="24"/>
              </w:rPr>
              <w:t>941.000</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color w:val="000000" w:themeColor="text1"/>
                <w:spacing w:val="14"/>
                <w:szCs w:val="24"/>
              </w:rPr>
            </w:pPr>
            <w:r w:rsidRPr="009131DA">
              <w:rPr>
                <w:rFonts w:ascii="Times New Roman" w:hAnsi="Times New Roman"/>
                <w:color w:val="000000" w:themeColor="text1"/>
                <w:spacing w:val="14"/>
                <w:szCs w:val="24"/>
              </w:rPr>
              <w:t>872.000</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color w:val="000000" w:themeColor="text1"/>
                <w:spacing w:val="18"/>
                <w:szCs w:val="24"/>
              </w:rPr>
            </w:pPr>
            <w:r w:rsidRPr="009131DA">
              <w:rPr>
                <w:rFonts w:ascii="Times New Roman" w:hAnsi="Times New Roman"/>
                <w:color w:val="000000" w:themeColor="text1"/>
                <w:spacing w:val="18"/>
                <w:szCs w:val="24"/>
              </w:rPr>
              <w:t>0,04084</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color w:val="000000" w:themeColor="text1"/>
                <w:szCs w:val="24"/>
              </w:rPr>
            </w:pPr>
            <w:r w:rsidRPr="009131DA">
              <w:rPr>
                <w:rFonts w:ascii="Times New Roman" w:hAnsi="Times New Roman"/>
                <w:color w:val="000000" w:themeColor="text1"/>
                <w:szCs w:val="24"/>
              </w:rPr>
              <w:t>0,03785</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color w:val="000000" w:themeColor="text1"/>
                <w:szCs w:val="24"/>
                <w:lang w:val="id-ID"/>
              </w:rPr>
            </w:pPr>
            <w:r w:rsidRPr="009131DA">
              <w:rPr>
                <w:rFonts w:ascii="Times New Roman" w:hAnsi="Times New Roman"/>
                <w:color w:val="000000" w:themeColor="text1"/>
                <w:szCs w:val="24"/>
                <w:lang w:val="id-ID"/>
              </w:rPr>
              <w:t>meningkat</w:t>
            </w:r>
          </w:p>
        </w:tc>
      </w:tr>
      <w:tr w:rsidR="00432133" w:rsidRPr="009131DA" w:rsidTr="00A85BA0">
        <w:trPr>
          <w:trHeight w:hRule="exact" w:val="355"/>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ind w:left="62"/>
              <w:rPr>
                <w:rFonts w:ascii="Times New Roman" w:hAnsi="Times New Roman"/>
                <w:color w:val="000000" w:themeColor="text1"/>
                <w:spacing w:val="10"/>
                <w:szCs w:val="24"/>
              </w:rPr>
            </w:pPr>
            <w:r w:rsidRPr="009131DA">
              <w:rPr>
                <w:rFonts w:ascii="Times New Roman" w:hAnsi="Times New Roman"/>
                <w:color w:val="000000" w:themeColor="text1"/>
                <w:spacing w:val="10"/>
                <w:szCs w:val="24"/>
              </w:rPr>
              <w:t>- Badan Usaha Asing</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zCs w:val="24"/>
              </w:rPr>
            </w:pPr>
            <w:r w:rsidRPr="009131DA">
              <w:rPr>
                <w:rFonts w:ascii="Times New Roman" w:hAnsi="Times New Roman"/>
                <w:color w:val="000000" w:themeColor="text1"/>
                <w:szCs w:val="24"/>
              </w:rPr>
              <w:t>432.122.173</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color w:val="000000" w:themeColor="text1"/>
                <w:spacing w:val="14"/>
                <w:szCs w:val="24"/>
              </w:rPr>
            </w:pPr>
            <w:r w:rsidRPr="009131DA">
              <w:rPr>
                <w:rFonts w:ascii="Times New Roman" w:hAnsi="Times New Roman"/>
                <w:color w:val="000000" w:themeColor="text1"/>
                <w:spacing w:val="14"/>
                <w:szCs w:val="24"/>
              </w:rPr>
              <w:t>430.966.807</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18,75423</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color w:val="000000" w:themeColor="text1"/>
                <w:spacing w:val="10"/>
                <w:szCs w:val="24"/>
              </w:rPr>
            </w:pPr>
            <w:r w:rsidRPr="009131DA">
              <w:rPr>
                <w:rFonts w:ascii="Times New Roman" w:hAnsi="Times New Roman"/>
                <w:color w:val="000000" w:themeColor="text1"/>
                <w:spacing w:val="10"/>
                <w:szCs w:val="24"/>
              </w:rPr>
              <w:t>18,70409</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color w:val="000000" w:themeColor="text1"/>
                <w:spacing w:val="10"/>
                <w:szCs w:val="24"/>
              </w:rPr>
            </w:pPr>
            <w:r w:rsidRPr="009131DA">
              <w:rPr>
                <w:rFonts w:ascii="Times New Roman" w:hAnsi="Times New Roman"/>
                <w:color w:val="000000" w:themeColor="text1"/>
                <w:szCs w:val="24"/>
                <w:lang w:val="id-ID"/>
              </w:rPr>
              <w:t>meningkat</w:t>
            </w:r>
          </w:p>
        </w:tc>
      </w:tr>
      <w:tr w:rsidR="00432133" w:rsidRPr="009131DA" w:rsidTr="00A85BA0">
        <w:trPr>
          <w:trHeight w:hRule="exact" w:val="360"/>
        </w:trPr>
        <w:tc>
          <w:tcPr>
            <w:tcW w:w="2458" w:type="dxa"/>
            <w:tcBorders>
              <w:top w:val="single" w:sz="4" w:space="0" w:color="auto"/>
              <w:left w:val="nil"/>
              <w:bottom w:val="single" w:sz="4" w:space="0" w:color="auto"/>
              <w:right w:val="single" w:sz="4" w:space="0" w:color="auto"/>
            </w:tcBorders>
            <w:vAlign w:val="center"/>
          </w:tcPr>
          <w:p w:rsidR="00432133" w:rsidRPr="009131DA" w:rsidRDefault="00432133" w:rsidP="00A85BA0">
            <w:pPr>
              <w:ind w:left="62"/>
              <w:rPr>
                <w:rFonts w:ascii="Times New Roman" w:hAnsi="Times New Roman"/>
                <w:b/>
                <w:bCs/>
                <w:color w:val="000000" w:themeColor="text1"/>
                <w:w w:val="110"/>
                <w:szCs w:val="24"/>
                <w:lang w:val="id-ID"/>
              </w:rPr>
            </w:pPr>
            <w:r w:rsidRPr="009131DA">
              <w:rPr>
                <w:rFonts w:ascii="Times New Roman" w:hAnsi="Times New Roman"/>
                <w:b/>
                <w:bCs/>
                <w:color w:val="000000" w:themeColor="text1"/>
                <w:w w:val="110"/>
                <w:szCs w:val="24"/>
              </w:rPr>
              <w:lastRenderedPageBreak/>
              <w:t>Subtotal</w:t>
            </w:r>
            <w:r w:rsidRPr="009131DA">
              <w:rPr>
                <w:rFonts w:ascii="Times New Roman" w:hAnsi="Times New Roman"/>
                <w:b/>
                <w:bCs/>
                <w:color w:val="000000" w:themeColor="text1"/>
                <w:w w:val="110"/>
                <w:szCs w:val="24"/>
                <w:lang w:val="id-ID"/>
              </w:rPr>
              <w:t xml:space="preserve"> Asing</w:t>
            </w:r>
          </w:p>
        </w:tc>
        <w:tc>
          <w:tcPr>
            <w:tcW w:w="1555"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b/>
                <w:bCs/>
                <w:color w:val="000000" w:themeColor="text1"/>
                <w:spacing w:val="-6"/>
                <w:w w:val="110"/>
                <w:szCs w:val="24"/>
              </w:rPr>
            </w:pPr>
            <w:r w:rsidRPr="009131DA">
              <w:rPr>
                <w:rFonts w:ascii="Times New Roman" w:hAnsi="Times New Roman"/>
                <w:b/>
                <w:bCs/>
                <w:color w:val="000000" w:themeColor="text1"/>
                <w:spacing w:val="-6"/>
                <w:w w:val="110"/>
                <w:szCs w:val="24"/>
              </w:rPr>
              <w:t>433.063.173</w:t>
            </w:r>
          </w:p>
        </w:tc>
        <w:tc>
          <w:tcPr>
            <w:tcW w:w="145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58"/>
              <w:jc w:val="right"/>
              <w:rPr>
                <w:rFonts w:ascii="Times New Roman" w:hAnsi="Times New Roman"/>
                <w:b/>
                <w:bCs/>
                <w:color w:val="000000" w:themeColor="text1"/>
                <w:spacing w:val="-6"/>
                <w:w w:val="110"/>
                <w:szCs w:val="24"/>
              </w:rPr>
            </w:pPr>
            <w:r w:rsidRPr="009131DA">
              <w:rPr>
                <w:rFonts w:ascii="Times New Roman" w:hAnsi="Times New Roman"/>
                <w:b/>
                <w:bCs/>
                <w:color w:val="000000" w:themeColor="text1"/>
                <w:spacing w:val="-6"/>
                <w:w w:val="110"/>
                <w:szCs w:val="24"/>
              </w:rPr>
              <w:t>431.838.807</w:t>
            </w:r>
          </w:p>
        </w:tc>
        <w:tc>
          <w:tcPr>
            <w:tcW w:w="1296" w:type="dxa"/>
            <w:tcBorders>
              <w:top w:val="single" w:sz="4" w:space="0" w:color="auto"/>
              <w:left w:val="single" w:sz="4" w:space="0" w:color="auto"/>
              <w:bottom w:val="single" w:sz="4" w:space="0" w:color="auto"/>
              <w:right w:val="single" w:sz="4" w:space="0" w:color="auto"/>
            </w:tcBorders>
            <w:shd w:val="solid" w:color="E8EDF5" w:fill="auto"/>
            <w:vAlign w:val="center"/>
          </w:tcPr>
          <w:p w:rsidR="00432133" w:rsidRPr="009131DA" w:rsidRDefault="00432133" w:rsidP="00A85BA0">
            <w:pPr>
              <w:ind w:right="62"/>
              <w:jc w:val="right"/>
              <w:rPr>
                <w:rFonts w:ascii="Times New Roman" w:hAnsi="Times New Roman"/>
                <w:b/>
                <w:bCs/>
                <w:color w:val="000000" w:themeColor="text1"/>
                <w:w w:val="110"/>
                <w:szCs w:val="24"/>
              </w:rPr>
            </w:pPr>
            <w:r w:rsidRPr="009131DA">
              <w:rPr>
                <w:rFonts w:ascii="Times New Roman" w:hAnsi="Times New Roman"/>
                <w:b/>
                <w:bCs/>
                <w:color w:val="000000" w:themeColor="text1"/>
                <w:w w:val="110"/>
                <w:szCs w:val="24"/>
              </w:rPr>
              <w:t>18,79507</w:t>
            </w:r>
          </w:p>
        </w:tc>
        <w:tc>
          <w:tcPr>
            <w:tcW w:w="1162"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8"/>
              <w:jc w:val="right"/>
              <w:rPr>
                <w:rFonts w:ascii="Times New Roman" w:hAnsi="Times New Roman"/>
                <w:b/>
                <w:bCs/>
                <w:color w:val="000000" w:themeColor="text1"/>
                <w:spacing w:val="-2"/>
                <w:w w:val="110"/>
                <w:szCs w:val="24"/>
              </w:rPr>
            </w:pPr>
            <w:r w:rsidRPr="009131DA">
              <w:rPr>
                <w:rFonts w:ascii="Times New Roman" w:hAnsi="Times New Roman"/>
                <w:b/>
                <w:bCs/>
                <w:color w:val="000000" w:themeColor="text1"/>
                <w:spacing w:val="-2"/>
                <w:w w:val="110"/>
                <w:szCs w:val="24"/>
              </w:rPr>
              <w:t>18,74194</w:t>
            </w:r>
          </w:p>
        </w:tc>
        <w:tc>
          <w:tcPr>
            <w:tcW w:w="1162" w:type="dxa"/>
            <w:tcBorders>
              <w:top w:val="single" w:sz="4" w:space="0" w:color="auto"/>
              <w:left w:val="single" w:sz="4" w:space="0" w:color="auto"/>
              <w:bottom w:val="single" w:sz="4" w:space="0" w:color="auto"/>
              <w:right w:val="nil"/>
            </w:tcBorders>
          </w:tcPr>
          <w:p w:rsidR="00432133" w:rsidRPr="009131DA" w:rsidRDefault="00432133" w:rsidP="00A85BA0">
            <w:pPr>
              <w:ind w:right="68"/>
              <w:rPr>
                <w:rFonts w:ascii="Times New Roman" w:hAnsi="Times New Roman"/>
                <w:b/>
                <w:bCs/>
                <w:color w:val="000000" w:themeColor="text1"/>
                <w:spacing w:val="-2"/>
                <w:w w:val="110"/>
                <w:szCs w:val="24"/>
              </w:rPr>
            </w:pPr>
            <w:r w:rsidRPr="009131DA">
              <w:rPr>
                <w:rFonts w:ascii="Times New Roman" w:hAnsi="Times New Roman"/>
                <w:color w:val="000000" w:themeColor="text1"/>
                <w:szCs w:val="24"/>
                <w:lang w:val="id-ID"/>
              </w:rPr>
              <w:t>meningkat</w:t>
            </w:r>
          </w:p>
        </w:tc>
      </w:tr>
      <w:tr w:rsidR="00432133" w:rsidRPr="009131DA" w:rsidTr="00A85BA0">
        <w:trPr>
          <w:trHeight w:hRule="exact" w:val="345"/>
        </w:trPr>
        <w:tc>
          <w:tcPr>
            <w:tcW w:w="2458" w:type="dxa"/>
            <w:tcBorders>
              <w:top w:val="single" w:sz="4" w:space="0" w:color="auto"/>
              <w:left w:val="nil"/>
              <w:bottom w:val="nil"/>
              <w:right w:val="single" w:sz="4" w:space="0" w:color="auto"/>
            </w:tcBorders>
            <w:vAlign w:val="center"/>
          </w:tcPr>
          <w:p w:rsidR="00432133" w:rsidRPr="009131DA" w:rsidRDefault="00432133" w:rsidP="00A85BA0">
            <w:pPr>
              <w:ind w:left="62"/>
              <w:rPr>
                <w:rFonts w:ascii="Times New Roman" w:hAnsi="Times New Roman"/>
                <w:color w:val="000000" w:themeColor="text1"/>
                <w:szCs w:val="24"/>
              </w:rPr>
            </w:pPr>
            <w:r w:rsidRPr="009131DA">
              <w:rPr>
                <w:rFonts w:ascii="Times New Roman" w:hAnsi="Times New Roman"/>
                <w:color w:val="000000" w:themeColor="text1"/>
                <w:szCs w:val="24"/>
              </w:rPr>
              <w:t>Total</w:t>
            </w:r>
          </w:p>
        </w:tc>
        <w:tc>
          <w:tcPr>
            <w:tcW w:w="1555" w:type="dxa"/>
            <w:tcBorders>
              <w:top w:val="single" w:sz="4" w:space="0" w:color="auto"/>
              <w:left w:val="single" w:sz="4" w:space="0" w:color="auto"/>
              <w:bottom w:val="nil"/>
              <w:right w:val="single" w:sz="4" w:space="0" w:color="auto"/>
            </w:tcBorders>
            <w:shd w:val="solid" w:color="E8EDF5" w:fill="auto"/>
            <w:vAlign w:val="center"/>
          </w:tcPr>
          <w:p w:rsidR="00432133" w:rsidRPr="009131DA" w:rsidRDefault="00432133" w:rsidP="00A85BA0">
            <w:pPr>
              <w:ind w:right="58"/>
              <w:jc w:val="right"/>
              <w:rPr>
                <w:rFonts w:ascii="Times New Roman" w:hAnsi="Times New Roman"/>
                <w:color w:val="000000" w:themeColor="text1"/>
                <w:spacing w:val="8"/>
                <w:szCs w:val="24"/>
              </w:rPr>
            </w:pPr>
            <w:r w:rsidRPr="009131DA">
              <w:rPr>
                <w:rFonts w:ascii="Times New Roman" w:hAnsi="Times New Roman"/>
                <w:color w:val="000000" w:themeColor="text1"/>
                <w:spacing w:val="8"/>
                <w:szCs w:val="24"/>
              </w:rPr>
              <w:t>2.304.131.850</w:t>
            </w:r>
          </w:p>
        </w:tc>
        <w:tc>
          <w:tcPr>
            <w:tcW w:w="2750" w:type="dxa"/>
            <w:gridSpan w:val="2"/>
            <w:tcBorders>
              <w:top w:val="single" w:sz="4" w:space="0" w:color="auto"/>
              <w:left w:val="single" w:sz="4" w:space="0" w:color="auto"/>
              <w:bottom w:val="nil"/>
              <w:right w:val="single" w:sz="4" w:space="0" w:color="auto"/>
            </w:tcBorders>
            <w:shd w:val="solid" w:color="E8EDF5" w:fill="auto"/>
            <w:vAlign w:val="center"/>
          </w:tcPr>
          <w:p w:rsidR="00432133" w:rsidRPr="009131DA" w:rsidRDefault="00432133" w:rsidP="00A85BA0">
            <w:pPr>
              <w:tabs>
                <w:tab w:val="right" w:pos="2683"/>
              </w:tabs>
              <w:ind w:right="58"/>
              <w:jc w:val="right"/>
              <w:rPr>
                <w:rFonts w:ascii="Times New Roman" w:hAnsi="Times New Roman"/>
                <w:color w:val="000000" w:themeColor="text1"/>
                <w:szCs w:val="24"/>
              </w:rPr>
            </w:pPr>
            <w:r w:rsidRPr="009131DA">
              <w:rPr>
                <w:rFonts w:ascii="Times New Roman" w:hAnsi="Times New Roman"/>
                <w:color w:val="000000" w:themeColor="text1"/>
                <w:spacing w:val="4"/>
                <w:szCs w:val="24"/>
              </w:rPr>
              <w:t>2.304.131.850</w:t>
            </w:r>
            <w:r w:rsidRPr="009131DA">
              <w:rPr>
                <w:rFonts w:ascii="Times New Roman" w:hAnsi="Times New Roman"/>
                <w:color w:val="000000" w:themeColor="text1"/>
                <w:spacing w:val="4"/>
                <w:szCs w:val="24"/>
              </w:rPr>
              <w:tab/>
            </w:r>
            <w:r w:rsidRPr="009131DA">
              <w:rPr>
                <w:rFonts w:ascii="Times New Roman" w:hAnsi="Times New Roman"/>
                <w:color w:val="000000" w:themeColor="text1"/>
                <w:szCs w:val="24"/>
              </w:rPr>
              <w:t>100,00</w:t>
            </w:r>
          </w:p>
        </w:tc>
        <w:tc>
          <w:tcPr>
            <w:tcW w:w="1162" w:type="dxa"/>
            <w:tcBorders>
              <w:top w:val="single" w:sz="4" w:space="0" w:color="auto"/>
              <w:left w:val="single" w:sz="4" w:space="0" w:color="auto"/>
              <w:bottom w:val="nil"/>
              <w:right w:val="nil"/>
            </w:tcBorders>
            <w:vAlign w:val="center"/>
          </w:tcPr>
          <w:p w:rsidR="00432133" w:rsidRPr="009131DA" w:rsidRDefault="00432133" w:rsidP="00A85BA0">
            <w:pPr>
              <w:ind w:right="68"/>
              <w:jc w:val="right"/>
              <w:rPr>
                <w:rFonts w:ascii="Times New Roman" w:hAnsi="Times New Roman"/>
                <w:color w:val="000000" w:themeColor="text1"/>
                <w:szCs w:val="24"/>
              </w:rPr>
            </w:pPr>
            <w:r w:rsidRPr="009131DA">
              <w:rPr>
                <w:rFonts w:ascii="Times New Roman" w:hAnsi="Times New Roman"/>
                <w:color w:val="000000" w:themeColor="text1"/>
                <w:szCs w:val="24"/>
              </w:rPr>
              <w:t>100,00</w:t>
            </w:r>
          </w:p>
        </w:tc>
        <w:tc>
          <w:tcPr>
            <w:tcW w:w="1162" w:type="dxa"/>
            <w:tcBorders>
              <w:top w:val="single" w:sz="4" w:space="0" w:color="auto"/>
              <w:left w:val="single" w:sz="4" w:space="0" w:color="auto"/>
              <w:bottom w:val="nil"/>
              <w:right w:val="nil"/>
            </w:tcBorders>
          </w:tcPr>
          <w:p w:rsidR="00432133" w:rsidRPr="009131DA" w:rsidRDefault="00432133" w:rsidP="00A85BA0">
            <w:pPr>
              <w:ind w:right="68"/>
              <w:jc w:val="right"/>
              <w:rPr>
                <w:rFonts w:ascii="Times New Roman" w:hAnsi="Times New Roman"/>
                <w:color w:val="000000" w:themeColor="text1"/>
                <w:szCs w:val="24"/>
              </w:rPr>
            </w:pPr>
          </w:p>
        </w:tc>
      </w:tr>
    </w:tbl>
    <w:p w:rsidR="00432133" w:rsidRPr="009131DA" w:rsidRDefault="00432133" w:rsidP="00432133">
      <w:pPr>
        <w:autoSpaceDE w:val="0"/>
        <w:autoSpaceDN w:val="0"/>
        <w:adjustRightInd w:val="0"/>
        <w:spacing w:after="0" w:line="400" w:lineRule="atLeast"/>
        <w:rPr>
          <w:rFonts w:ascii="Times New Roman" w:hAnsi="Times New Roman"/>
          <w:color w:val="000000" w:themeColor="text1"/>
          <w:szCs w:val="24"/>
          <w:lang w:val="id-ID"/>
        </w:rPr>
      </w:pPr>
    </w:p>
    <w:p w:rsidR="00F653F7" w:rsidRPr="00A85BA0" w:rsidRDefault="00432133" w:rsidP="00A85BA0">
      <w:pPr>
        <w:spacing w:after="0" w:line="360" w:lineRule="auto"/>
        <w:ind w:firstLine="720"/>
        <w:jc w:val="both"/>
        <w:rPr>
          <w:rFonts w:ascii="Times New Roman" w:hAnsi="Times New Roman"/>
          <w:color w:val="000000" w:themeColor="text1"/>
          <w:szCs w:val="24"/>
          <w:lang w:val="id-ID"/>
        </w:rPr>
      </w:pPr>
      <w:r w:rsidRPr="009131DA">
        <w:rPr>
          <w:rFonts w:ascii="Times New Roman" w:hAnsi="Times New Roman"/>
          <w:color w:val="000000" w:themeColor="text1"/>
          <w:szCs w:val="24"/>
          <w:lang w:val="id-ID"/>
        </w:rPr>
        <w:t xml:space="preserve">Data kepemilikan asing </w:t>
      </w:r>
      <w:r w:rsidR="00F653F7">
        <w:rPr>
          <w:rFonts w:ascii="Times New Roman" w:hAnsi="Times New Roman"/>
          <w:color w:val="000000" w:themeColor="text1"/>
          <w:szCs w:val="24"/>
          <w:lang w:val="id-ID"/>
        </w:rPr>
        <w:t xml:space="preserve">total </w:t>
      </w:r>
      <w:r w:rsidRPr="009131DA">
        <w:rPr>
          <w:rFonts w:ascii="Times New Roman" w:hAnsi="Times New Roman"/>
          <w:color w:val="000000" w:themeColor="text1"/>
          <w:szCs w:val="24"/>
          <w:lang w:val="id-ID"/>
        </w:rPr>
        <w:t xml:space="preserve">semakin meningkat </w:t>
      </w:r>
      <w:r w:rsidR="00F653F7">
        <w:rPr>
          <w:rFonts w:ascii="Times New Roman" w:hAnsi="Times New Roman"/>
          <w:color w:val="000000" w:themeColor="text1"/>
          <w:szCs w:val="24"/>
          <w:lang w:val="id-ID"/>
        </w:rPr>
        <w:t xml:space="preserve">dibandingkan kepemilikan dalam negeri. Kepemilikan asing yang meningkat tersebut terjadi pada </w:t>
      </w:r>
      <w:r w:rsidRPr="009131DA">
        <w:rPr>
          <w:rFonts w:ascii="Times New Roman" w:hAnsi="Times New Roman"/>
          <w:color w:val="000000" w:themeColor="text1"/>
          <w:szCs w:val="24"/>
          <w:lang w:val="id-ID"/>
        </w:rPr>
        <w:t>kepemilikan dengan tipe peror</w:t>
      </w:r>
      <w:r w:rsidRPr="00A85BA0">
        <w:rPr>
          <w:rFonts w:ascii="Times New Roman" w:hAnsi="Times New Roman"/>
          <w:color w:val="000000" w:themeColor="text1"/>
          <w:szCs w:val="24"/>
          <w:lang w:val="id-ID"/>
        </w:rPr>
        <w:t>angan maupun dengan tipe badan usaha asing</w:t>
      </w:r>
      <w:r w:rsidR="00F653F7" w:rsidRPr="00A85BA0">
        <w:rPr>
          <w:rFonts w:ascii="Times New Roman" w:hAnsi="Times New Roman"/>
          <w:color w:val="000000" w:themeColor="text1"/>
          <w:szCs w:val="24"/>
          <w:lang w:val="id-ID"/>
        </w:rPr>
        <w:t>. Hal ini membuktikan bahwa sektor industri pertambangan sangat menarik bagi pemodal asing, walaupun saat tahun 2012 harga produk batu bara mengalami penurunan. Boleh jadi pemodal asing menganalisis faktor fundamental yang dimiliki oleh PT Bukit Asam yang kokoh dan kuat sehingga tetap dapat mempertahankan keuntungan walaupun harga produk batu bara mengalami penurunan.</w:t>
      </w:r>
    </w:p>
    <w:p w:rsidR="008B2404" w:rsidRPr="00A85BA0" w:rsidRDefault="00F653F7" w:rsidP="00A85BA0">
      <w:pPr>
        <w:spacing w:after="0" w:line="360" w:lineRule="auto"/>
        <w:ind w:firstLine="720"/>
        <w:jc w:val="both"/>
        <w:rPr>
          <w:rFonts w:ascii="Times New Roman" w:hAnsi="Times New Roman"/>
          <w:lang w:val="fi-FI"/>
        </w:rPr>
      </w:pPr>
      <w:r w:rsidRPr="00A85BA0">
        <w:rPr>
          <w:rFonts w:ascii="Times New Roman" w:hAnsi="Times New Roman"/>
          <w:lang w:val="id-ID"/>
        </w:rPr>
        <w:t>Data kepemilikan menunjukkan bahwa dengan tipe institusional PT Bukit Asam jauh lebih besar dibandingkan tipe perorangan. Hal ini berlaku baik dari pemodal dalam negeri maupun pemodal asing. Alasan yang berkaitan dengan tingkat kepemilikan  saham dengan jumlah yang besar bagi tipe kepemilikan institusional boleh jadi dipengaruhi alasan ini, yaitu p</w:t>
      </w:r>
      <w:r w:rsidR="008B2404" w:rsidRPr="00A85BA0">
        <w:rPr>
          <w:rFonts w:ascii="Times New Roman" w:hAnsi="Times New Roman"/>
          <w:lang w:val="fi-FI"/>
        </w:rPr>
        <w:t>emegang saham institusional memiliki dorongan untuk memonitor dan mempengaruhi manajemen untuk melindungi investasi mereka yang signifikan</w:t>
      </w:r>
      <w:r w:rsidRPr="00A85BA0">
        <w:rPr>
          <w:rFonts w:ascii="Times New Roman" w:hAnsi="Times New Roman"/>
          <w:lang w:val="id-ID"/>
        </w:rPr>
        <w:t xml:space="preserve">. Hal ini sesuai dengan teori kepemilikan yang dikemukakan oleh </w:t>
      </w:r>
      <w:r w:rsidR="008B2404" w:rsidRPr="00A85BA0">
        <w:rPr>
          <w:rFonts w:ascii="Times New Roman" w:hAnsi="Times New Roman"/>
          <w:lang w:val="fi-FI"/>
        </w:rPr>
        <w:t>Fri</w:t>
      </w:r>
      <w:r w:rsidRPr="00A85BA0">
        <w:rPr>
          <w:rFonts w:ascii="Times New Roman" w:hAnsi="Times New Roman"/>
          <w:lang w:val="fi-FI"/>
        </w:rPr>
        <w:t>end and Lang, 1988; Mehran 1992</w:t>
      </w:r>
      <w:r w:rsidR="008B2404" w:rsidRPr="00A85BA0">
        <w:rPr>
          <w:rFonts w:ascii="Times New Roman" w:hAnsi="Times New Roman"/>
          <w:lang w:val="fi-FI"/>
        </w:rPr>
        <w:t>. Karena peran ekonomi pemegang pemegang saham untuk melindungi investasi mereka dan akibatnya memonitor manajemen saham meningkat pada saat level kepemilikan saham mereka meningkat, dorongan menjadi meningkat seiring dengan peningkatan pemilikan saham mereka.</w:t>
      </w:r>
    </w:p>
    <w:p w:rsidR="00D554AD" w:rsidRPr="00A85BA0" w:rsidRDefault="00A85BA0" w:rsidP="00A85BA0">
      <w:pPr>
        <w:autoSpaceDE w:val="0"/>
        <w:autoSpaceDN w:val="0"/>
        <w:adjustRightInd w:val="0"/>
        <w:spacing w:after="0" w:line="360" w:lineRule="auto"/>
        <w:rPr>
          <w:rFonts w:ascii="Times New Roman" w:hAnsi="Times New Roman"/>
          <w:bCs/>
          <w:szCs w:val="24"/>
          <w:lang w:val="id-ID"/>
        </w:rPr>
      </w:pPr>
      <w:r w:rsidRPr="00A85BA0">
        <w:rPr>
          <w:rFonts w:ascii="Times New Roman" w:hAnsi="Times New Roman"/>
          <w:bCs/>
          <w:szCs w:val="24"/>
          <w:lang w:val="id-ID"/>
        </w:rPr>
        <w:t>Dalam hal jumlah kepemilikan saham terbesar yang dimiliki oleh pemerintah maka hal ini sesuai dengan penguasaan dan kewenangan mengelola yaitu;</w:t>
      </w:r>
    </w:p>
    <w:p w:rsidR="00D554AD" w:rsidRPr="00A85BA0" w:rsidRDefault="00A85BA0" w:rsidP="00A85BA0">
      <w:pPr>
        <w:autoSpaceDE w:val="0"/>
        <w:autoSpaceDN w:val="0"/>
        <w:adjustRightInd w:val="0"/>
        <w:spacing w:after="0" w:line="360" w:lineRule="auto"/>
        <w:ind w:left="567" w:hanging="567"/>
        <w:jc w:val="both"/>
        <w:rPr>
          <w:rFonts w:ascii="Times New Roman" w:hAnsi="Times New Roman"/>
          <w:szCs w:val="24"/>
        </w:rPr>
      </w:pPr>
      <w:r w:rsidRPr="00A85BA0">
        <w:rPr>
          <w:rFonts w:ascii="Times New Roman" w:hAnsi="Times New Roman"/>
          <w:szCs w:val="24"/>
        </w:rPr>
        <w:t xml:space="preserve"> </w:t>
      </w:r>
      <w:r w:rsidR="00D554AD" w:rsidRPr="00A85BA0">
        <w:rPr>
          <w:rFonts w:ascii="Times New Roman" w:hAnsi="Times New Roman"/>
          <w:szCs w:val="24"/>
        </w:rPr>
        <w:t>(1)</w:t>
      </w:r>
      <w:r w:rsidR="00D554AD" w:rsidRPr="00A85BA0">
        <w:rPr>
          <w:rFonts w:ascii="Times New Roman" w:hAnsi="Times New Roman"/>
          <w:szCs w:val="24"/>
        </w:rPr>
        <w:tab/>
        <w:t>Mineral sebagai sumber daya yang tak terbarukan merupakan</w:t>
      </w:r>
      <w:r w:rsidR="00D554AD" w:rsidRPr="00A85BA0">
        <w:rPr>
          <w:rFonts w:ascii="Times New Roman" w:hAnsi="Times New Roman"/>
          <w:szCs w:val="24"/>
          <w:lang w:val="id-ID"/>
        </w:rPr>
        <w:t xml:space="preserve"> </w:t>
      </w:r>
      <w:r w:rsidR="00D554AD" w:rsidRPr="00A85BA0">
        <w:rPr>
          <w:rFonts w:ascii="Times New Roman" w:hAnsi="Times New Roman"/>
          <w:szCs w:val="24"/>
        </w:rPr>
        <w:t>kekayaan nasional yang dikuasai oleh negara untuk sebesar-besarnya</w:t>
      </w:r>
      <w:r w:rsidR="00D554AD" w:rsidRPr="00A85BA0">
        <w:rPr>
          <w:rFonts w:ascii="Times New Roman" w:hAnsi="Times New Roman"/>
          <w:szCs w:val="24"/>
          <w:lang w:val="id-ID"/>
        </w:rPr>
        <w:t xml:space="preserve"> </w:t>
      </w:r>
      <w:r w:rsidR="00D554AD" w:rsidRPr="00A85BA0">
        <w:rPr>
          <w:rFonts w:ascii="Times New Roman" w:hAnsi="Times New Roman"/>
          <w:szCs w:val="24"/>
        </w:rPr>
        <w:t>kesejahteraan rakyat.</w:t>
      </w:r>
    </w:p>
    <w:p w:rsidR="00D554AD" w:rsidRPr="00A85BA0" w:rsidRDefault="00D554AD" w:rsidP="00A85BA0">
      <w:pPr>
        <w:autoSpaceDE w:val="0"/>
        <w:autoSpaceDN w:val="0"/>
        <w:adjustRightInd w:val="0"/>
        <w:spacing w:after="0" w:line="360" w:lineRule="auto"/>
        <w:ind w:left="567" w:hanging="567"/>
        <w:jc w:val="both"/>
        <w:rPr>
          <w:rFonts w:ascii="Times New Roman" w:hAnsi="Times New Roman"/>
          <w:szCs w:val="24"/>
          <w:lang w:val="id-ID"/>
        </w:rPr>
      </w:pPr>
      <w:r w:rsidRPr="00A85BA0">
        <w:rPr>
          <w:rFonts w:ascii="Times New Roman" w:hAnsi="Times New Roman"/>
          <w:szCs w:val="24"/>
        </w:rPr>
        <w:t xml:space="preserve">(2) </w:t>
      </w:r>
      <w:r w:rsidRPr="00A85BA0">
        <w:rPr>
          <w:rFonts w:ascii="Times New Roman" w:hAnsi="Times New Roman"/>
          <w:szCs w:val="24"/>
        </w:rPr>
        <w:tab/>
        <w:t>Penguasaan mineral oleh negara sebagaimana dimaksud padaayat (1) di wilayah Daerah diselenggarakan oleh Pemerintah Daerah.</w:t>
      </w:r>
    </w:p>
    <w:p w:rsidR="00D554AD" w:rsidRPr="00A85BA0" w:rsidRDefault="00D554AD" w:rsidP="00A85BA0">
      <w:pPr>
        <w:autoSpaceDE w:val="0"/>
        <w:autoSpaceDN w:val="0"/>
        <w:adjustRightInd w:val="0"/>
        <w:spacing w:after="0" w:line="360" w:lineRule="auto"/>
        <w:ind w:left="567" w:hanging="567"/>
        <w:jc w:val="both"/>
        <w:rPr>
          <w:rFonts w:ascii="Times New Roman" w:hAnsi="Times New Roman"/>
          <w:szCs w:val="24"/>
          <w:lang w:val="id-ID"/>
        </w:rPr>
      </w:pPr>
      <w:r w:rsidRPr="00A85BA0">
        <w:rPr>
          <w:rFonts w:ascii="Times New Roman" w:hAnsi="Times New Roman"/>
          <w:szCs w:val="24"/>
          <w:lang w:val="id-ID"/>
        </w:rPr>
        <w:t>(3)</w:t>
      </w:r>
      <w:r w:rsidRPr="00A85BA0">
        <w:rPr>
          <w:rFonts w:ascii="Times New Roman" w:hAnsi="Times New Roman"/>
          <w:szCs w:val="24"/>
          <w:lang w:val="id-ID"/>
        </w:rPr>
        <w:tab/>
        <w:t>Pemerintah Daerah dapat menetapkan prioritas dan komoditas mineral untuk kepentingan Daerah dalam pengendalian produksi dan ekspor sesuai ketentuan peraturan perundang-undangan</w:t>
      </w:r>
      <w:r w:rsidRPr="00A85BA0">
        <w:rPr>
          <w:rFonts w:ascii="Times New Roman" w:hAnsi="Times New Roman"/>
          <w:szCs w:val="24"/>
        </w:rPr>
        <w:t>.</w:t>
      </w:r>
    </w:p>
    <w:p w:rsidR="00D554AD" w:rsidRPr="00A85BA0" w:rsidRDefault="00A85BA0" w:rsidP="00A85BA0">
      <w:pPr>
        <w:autoSpaceDE w:val="0"/>
        <w:autoSpaceDN w:val="0"/>
        <w:adjustRightInd w:val="0"/>
        <w:spacing w:after="0" w:line="360" w:lineRule="auto"/>
        <w:ind w:left="360" w:firstLine="900"/>
        <w:jc w:val="both"/>
        <w:rPr>
          <w:rFonts w:ascii="Times New Roman" w:hAnsi="Times New Roman"/>
        </w:rPr>
      </w:pPr>
      <w:r w:rsidRPr="00A85BA0">
        <w:rPr>
          <w:rFonts w:ascii="Times New Roman" w:hAnsi="Times New Roman"/>
          <w:lang w:val="id-ID"/>
        </w:rPr>
        <w:lastRenderedPageBreak/>
        <w:t xml:space="preserve">Dalam hal kepemilikan saham dengan jumlah tetap dari tahun ke tahun oleh pemerintah daerah yaitu sebesar </w:t>
      </w:r>
      <w:r w:rsidRPr="00A85BA0">
        <w:rPr>
          <w:rFonts w:ascii="Times New Roman" w:hAnsi="Times New Roman"/>
          <w:color w:val="000000" w:themeColor="text1"/>
          <w:szCs w:val="24"/>
        </w:rPr>
        <w:t>1,22654</w:t>
      </w:r>
      <w:r w:rsidRPr="00A85BA0">
        <w:rPr>
          <w:rFonts w:ascii="Times New Roman" w:hAnsi="Times New Roman"/>
          <w:color w:val="000000" w:themeColor="text1"/>
          <w:szCs w:val="24"/>
          <w:lang w:val="id-ID"/>
        </w:rPr>
        <w:t xml:space="preserve"> ini menunjukkan bahwa p</w:t>
      </w:r>
      <w:r w:rsidR="00D554AD" w:rsidRPr="00A85BA0">
        <w:rPr>
          <w:rFonts w:ascii="Times New Roman" w:hAnsi="Times New Roman"/>
        </w:rPr>
        <w:t xml:space="preserve">elaksanaan Undang-Undang No. 32 dan 33 Tahun 2004 secara menyeluruh memberikan kewenangan, atau secara tidak langsung tanggungjawab, kepada pemerintah daerah untuk merencanakan dan mengatur pola pengembangan daerahnya. Untuk itu, pemerintah daerah dituntut untuk mampu merencanakan pengembangan daerahnya dengan baik. Kenyataan yang ada menunjukkan bahwa tugas pemerintah daerah dalam perencanaan pembangunan daerah diawali dengan menyusun Rencana Anggaran Pendapatan dan Belanja Daerah (RAPBD), yang merupakan penjabaran tahunan dari strategi global kebijakan pembangunan daerah jangka panjang (5 tahun). </w:t>
      </w:r>
    </w:p>
    <w:p w:rsidR="00D554AD" w:rsidRPr="00A85BA0" w:rsidRDefault="00A85BA0" w:rsidP="00A85BA0">
      <w:pPr>
        <w:autoSpaceDE w:val="0"/>
        <w:autoSpaceDN w:val="0"/>
        <w:adjustRightInd w:val="0"/>
        <w:spacing w:after="0" w:line="360" w:lineRule="auto"/>
        <w:ind w:left="360" w:firstLine="900"/>
        <w:jc w:val="both"/>
        <w:rPr>
          <w:rFonts w:ascii="Times New Roman" w:hAnsi="Times New Roman"/>
          <w:lang w:val="sv-SE"/>
        </w:rPr>
      </w:pPr>
      <w:r w:rsidRPr="00A85BA0">
        <w:rPr>
          <w:rFonts w:ascii="Times New Roman" w:hAnsi="Times New Roman"/>
          <w:lang w:val="id-ID"/>
        </w:rPr>
        <w:t>T</w:t>
      </w:r>
      <w:r w:rsidR="00D554AD" w:rsidRPr="00A85BA0">
        <w:rPr>
          <w:rFonts w:ascii="Times New Roman" w:hAnsi="Times New Roman"/>
        </w:rPr>
        <w:t xml:space="preserve">ugas paling utama pemerintah daerah dalam merencanakan pembangunan pada era desentralisasi dan otonomi daerah adalah menyusun RAPBD secara baik dan benar. Pada tahap selanjutnya, RAPBD ini perlu diterjemahkan lagi ke dalam program-program sektoral, seperti progam peningkatan pendidikan dasar, peningkatan kesehatan dasar dan sebagainya, serta program-program listas sektoral seperti program pengembangan wilayah terpadu, program penanggulangan kemiskinan, dan sebagainya. </w:t>
      </w:r>
    </w:p>
    <w:p w:rsidR="00432133" w:rsidRPr="009131DA" w:rsidRDefault="00432133" w:rsidP="00432133">
      <w:pPr>
        <w:autoSpaceDE w:val="0"/>
        <w:autoSpaceDN w:val="0"/>
        <w:adjustRightInd w:val="0"/>
        <w:spacing w:after="0" w:line="400" w:lineRule="atLeast"/>
        <w:rPr>
          <w:rFonts w:ascii="Times New Roman" w:hAnsi="Times New Roman"/>
          <w:color w:val="000000" w:themeColor="text1"/>
          <w:szCs w:val="24"/>
          <w:lang w:val="id-ID"/>
        </w:rPr>
      </w:pPr>
    </w:p>
    <w:p w:rsidR="00432133" w:rsidRPr="00432133" w:rsidRDefault="00432133" w:rsidP="00432133">
      <w:pPr>
        <w:spacing w:after="0" w:line="360" w:lineRule="auto"/>
        <w:rPr>
          <w:rFonts w:ascii="Times New Roman" w:hAnsi="Times New Roman"/>
          <w:b/>
          <w:bCs/>
          <w:w w:val="105"/>
          <w:szCs w:val="24"/>
          <w:lang w:val="id-ID"/>
        </w:rPr>
      </w:pPr>
    </w:p>
    <w:p w:rsidR="00432133" w:rsidRDefault="00432133" w:rsidP="00432133">
      <w:pPr>
        <w:pStyle w:val="ListParagraph"/>
        <w:numPr>
          <w:ilvl w:val="0"/>
          <w:numId w:val="9"/>
        </w:numPr>
        <w:spacing w:after="0" w:line="360" w:lineRule="auto"/>
        <w:jc w:val="left"/>
        <w:rPr>
          <w:rFonts w:ascii="Times New Roman" w:hAnsi="Times New Roman"/>
          <w:b/>
          <w:bCs/>
          <w:w w:val="105"/>
          <w:szCs w:val="24"/>
        </w:rPr>
      </w:pPr>
      <w:r>
        <w:rPr>
          <w:rFonts w:ascii="Times New Roman" w:hAnsi="Times New Roman"/>
          <w:b/>
          <w:bCs/>
          <w:w w:val="105"/>
          <w:szCs w:val="24"/>
        </w:rPr>
        <w:t>Laba dan Dividen PTBA</w:t>
      </w:r>
    </w:p>
    <w:p w:rsidR="00A85BA0" w:rsidRPr="00A85BA0" w:rsidRDefault="00A85BA0" w:rsidP="00A85BA0">
      <w:pPr>
        <w:spacing w:after="0" w:line="360" w:lineRule="auto"/>
        <w:ind w:left="425" w:right="-45" w:firstLine="720"/>
        <w:jc w:val="both"/>
        <w:rPr>
          <w:rFonts w:ascii="Times New Roman" w:hAnsi="Times New Roman"/>
          <w:color w:val="000000" w:themeColor="text1"/>
          <w:spacing w:val="14"/>
          <w:szCs w:val="24"/>
          <w:lang w:val="id-ID"/>
        </w:rPr>
      </w:pPr>
      <w:r w:rsidRPr="00A85BA0">
        <w:rPr>
          <w:rFonts w:ascii="Times New Roman" w:hAnsi="Times New Roman"/>
          <w:b/>
          <w:bCs/>
          <w:w w:val="105"/>
          <w:szCs w:val="24"/>
          <w:lang w:val="id-ID"/>
        </w:rPr>
        <w:t>PT Bukit Asam</w:t>
      </w:r>
      <w:r w:rsidR="00432133" w:rsidRPr="00A85BA0">
        <w:rPr>
          <w:rFonts w:ascii="Times New Roman" w:hAnsi="Times New Roman"/>
          <w:color w:val="000000" w:themeColor="text1"/>
          <w:spacing w:val="12"/>
          <w:szCs w:val="24"/>
        </w:rPr>
        <w:t xml:space="preserve"> menetapkan kebijakan penggunaan laba bersih hasil operasional selama satu tahun buku dan membayar dividen secara tunai atas laba bersih setelah memperhatikan tingkat laba </w:t>
      </w:r>
      <w:r w:rsidR="00432133" w:rsidRPr="00A85BA0">
        <w:rPr>
          <w:rFonts w:ascii="Times New Roman" w:hAnsi="Times New Roman"/>
          <w:color w:val="000000" w:themeColor="text1"/>
          <w:spacing w:val="15"/>
          <w:szCs w:val="24"/>
        </w:rPr>
        <w:t xml:space="preserve">yang diperoleh, jumlah cadangan yang harus disisihkan dan rencana pengembangan usaha. </w:t>
      </w:r>
      <w:r w:rsidR="00432133" w:rsidRPr="00A85BA0">
        <w:rPr>
          <w:rFonts w:ascii="Times New Roman" w:hAnsi="Times New Roman"/>
          <w:color w:val="000000" w:themeColor="text1"/>
          <w:spacing w:val="11"/>
          <w:szCs w:val="24"/>
        </w:rPr>
        <w:t xml:space="preserve">Hal ini sesuai dengan isi Prospektus pada saat penawaran saham perdana, yang menyatakan </w:t>
      </w:r>
      <w:r w:rsidR="00432133" w:rsidRPr="00A85BA0">
        <w:rPr>
          <w:rFonts w:ascii="Times New Roman" w:hAnsi="Times New Roman"/>
          <w:color w:val="000000" w:themeColor="text1"/>
          <w:spacing w:val="15"/>
          <w:szCs w:val="24"/>
        </w:rPr>
        <w:t xml:space="preserve">Perseroan </w:t>
      </w:r>
      <w:proofErr w:type="gramStart"/>
      <w:r w:rsidR="00432133" w:rsidRPr="00A85BA0">
        <w:rPr>
          <w:rFonts w:ascii="Times New Roman" w:hAnsi="Times New Roman"/>
          <w:color w:val="000000" w:themeColor="text1"/>
          <w:spacing w:val="15"/>
          <w:szCs w:val="24"/>
        </w:rPr>
        <w:t>akan</w:t>
      </w:r>
      <w:proofErr w:type="gramEnd"/>
      <w:r w:rsidR="00432133" w:rsidRPr="00A85BA0">
        <w:rPr>
          <w:rFonts w:ascii="Times New Roman" w:hAnsi="Times New Roman"/>
          <w:color w:val="000000" w:themeColor="text1"/>
          <w:spacing w:val="15"/>
          <w:szCs w:val="24"/>
        </w:rPr>
        <w:t xml:space="preserve"> membayarkan dividen minimal 30% dari laba bersih, kecuali ditentukan lain </w:t>
      </w:r>
      <w:r w:rsidR="00432133" w:rsidRPr="00A85BA0">
        <w:rPr>
          <w:rFonts w:ascii="Times New Roman" w:hAnsi="Times New Roman"/>
          <w:color w:val="000000" w:themeColor="text1"/>
          <w:spacing w:val="14"/>
          <w:szCs w:val="24"/>
        </w:rPr>
        <w:t>oleh Rapat Umum Pemegang Saham.</w:t>
      </w:r>
      <w:r w:rsidRPr="00A85BA0">
        <w:rPr>
          <w:rFonts w:ascii="Times New Roman" w:hAnsi="Times New Roman"/>
          <w:color w:val="000000" w:themeColor="text1"/>
          <w:spacing w:val="14"/>
          <w:szCs w:val="24"/>
          <w:lang w:val="id-ID"/>
        </w:rPr>
        <w:t xml:space="preserve"> </w:t>
      </w:r>
      <w:r w:rsidR="00432133" w:rsidRPr="00A85BA0">
        <w:rPr>
          <w:rFonts w:ascii="Times New Roman" w:hAnsi="Times New Roman"/>
          <w:color w:val="000000" w:themeColor="text1"/>
          <w:spacing w:val="14"/>
          <w:szCs w:val="24"/>
        </w:rPr>
        <w:t>Kebijakan tersebut merupakan bagian dari komitmen Perseroan untuk menciptakan manfaat terbaik bagi para pemegang saham.</w:t>
      </w:r>
    </w:p>
    <w:p w:rsidR="00432133" w:rsidRDefault="00432133" w:rsidP="00DF272C">
      <w:pPr>
        <w:spacing w:after="0" w:line="360" w:lineRule="auto"/>
        <w:ind w:left="425" w:right="-45" w:firstLine="720"/>
        <w:jc w:val="both"/>
        <w:rPr>
          <w:rFonts w:ascii="Times New Roman" w:hAnsi="Times New Roman"/>
          <w:color w:val="000000" w:themeColor="text1"/>
          <w:spacing w:val="12"/>
          <w:szCs w:val="24"/>
          <w:lang w:val="id-ID"/>
        </w:rPr>
      </w:pPr>
      <w:r w:rsidRPr="00A85BA0">
        <w:rPr>
          <w:rFonts w:ascii="Times New Roman" w:hAnsi="Times New Roman"/>
          <w:color w:val="000000" w:themeColor="text1"/>
          <w:spacing w:val="10"/>
          <w:szCs w:val="24"/>
        </w:rPr>
        <w:t>Pada tahun 2011, PTBA kembali membagikan dividen interim tahun buku 2011 sebesar Rp103</w:t>
      </w:r>
      <w:proofErr w:type="gramStart"/>
      <w:r w:rsidRPr="00A85BA0">
        <w:rPr>
          <w:rFonts w:ascii="Times New Roman" w:hAnsi="Times New Roman"/>
          <w:color w:val="000000" w:themeColor="text1"/>
          <w:spacing w:val="10"/>
          <w:szCs w:val="24"/>
        </w:rPr>
        <w:t>,46</w:t>
      </w:r>
      <w:proofErr w:type="gramEnd"/>
      <w:r w:rsidRPr="00A85BA0">
        <w:rPr>
          <w:rFonts w:ascii="Times New Roman" w:hAnsi="Times New Roman"/>
          <w:color w:val="000000" w:themeColor="text1"/>
          <w:spacing w:val="10"/>
          <w:szCs w:val="24"/>
        </w:rPr>
        <w:t xml:space="preserve"> </w:t>
      </w:r>
      <w:r w:rsidRPr="00A85BA0">
        <w:rPr>
          <w:rFonts w:ascii="Times New Roman" w:hAnsi="Times New Roman"/>
          <w:color w:val="000000" w:themeColor="text1"/>
          <w:spacing w:val="12"/>
          <w:szCs w:val="24"/>
        </w:rPr>
        <w:t xml:space="preserve">per saham yang sudah dilaksanakan pada </w:t>
      </w:r>
      <w:r w:rsidRPr="00A85BA0">
        <w:rPr>
          <w:rFonts w:ascii="Times New Roman" w:hAnsi="Times New Roman"/>
          <w:color w:val="000000" w:themeColor="text1"/>
          <w:spacing w:val="12"/>
          <w:szCs w:val="24"/>
        </w:rPr>
        <w:lastRenderedPageBreak/>
        <w:t xml:space="preserve">tanggal 15 Desember 2011. Untuk tahun 2012, tidak </w:t>
      </w:r>
      <w:r w:rsidRPr="00A85BA0">
        <w:rPr>
          <w:rFonts w:ascii="Times New Roman" w:hAnsi="Times New Roman"/>
          <w:color w:val="000000" w:themeColor="text1"/>
          <w:spacing w:val="13"/>
          <w:szCs w:val="24"/>
        </w:rPr>
        <w:t>ada pembagian dividen interim tahun buku 2012.</w:t>
      </w:r>
      <w:r w:rsidR="00A85BA0">
        <w:rPr>
          <w:rFonts w:ascii="Times New Roman" w:hAnsi="Times New Roman"/>
          <w:color w:val="000000" w:themeColor="text1"/>
          <w:spacing w:val="14"/>
          <w:szCs w:val="24"/>
          <w:lang w:val="id-ID"/>
        </w:rPr>
        <w:t xml:space="preserve"> </w:t>
      </w:r>
      <w:r w:rsidRPr="00A85BA0">
        <w:rPr>
          <w:rFonts w:ascii="Times New Roman" w:hAnsi="Times New Roman"/>
          <w:color w:val="000000" w:themeColor="text1"/>
          <w:spacing w:val="10"/>
          <w:szCs w:val="24"/>
        </w:rPr>
        <w:t xml:space="preserve">Dalam beberapa tahun terakhir, besaran dividen yang dibagikan selalu lebih besar dari batasan </w:t>
      </w:r>
      <w:r w:rsidRPr="00A85BA0">
        <w:rPr>
          <w:rFonts w:ascii="Times New Roman" w:hAnsi="Times New Roman"/>
          <w:i/>
          <w:iCs/>
          <w:color w:val="000000" w:themeColor="text1"/>
          <w:spacing w:val="13"/>
          <w:szCs w:val="24"/>
        </w:rPr>
        <w:t>dividend pay out ratio</w:t>
      </w:r>
      <w:r w:rsidRPr="00A85BA0">
        <w:rPr>
          <w:rFonts w:ascii="Times New Roman" w:hAnsi="Times New Roman"/>
          <w:color w:val="000000" w:themeColor="text1"/>
          <w:spacing w:val="13"/>
          <w:szCs w:val="24"/>
        </w:rPr>
        <w:t xml:space="preserve"> tersebut diatas. Tahun 2012, </w:t>
      </w:r>
      <w:r w:rsidRPr="00A85BA0">
        <w:rPr>
          <w:rFonts w:ascii="Times New Roman" w:hAnsi="Times New Roman"/>
          <w:i/>
          <w:iCs/>
          <w:color w:val="000000" w:themeColor="text1"/>
          <w:spacing w:val="13"/>
          <w:szCs w:val="24"/>
        </w:rPr>
        <w:t>dividend pay out ratio</w:t>
      </w:r>
      <w:r w:rsidRPr="00A85BA0">
        <w:rPr>
          <w:rFonts w:ascii="Times New Roman" w:hAnsi="Times New Roman"/>
          <w:color w:val="000000" w:themeColor="text1"/>
          <w:spacing w:val="13"/>
          <w:szCs w:val="24"/>
        </w:rPr>
        <w:t xml:space="preserve"> ditetapkan sebesar </w:t>
      </w:r>
      <w:r w:rsidRPr="00A85BA0">
        <w:rPr>
          <w:rFonts w:ascii="Times New Roman" w:hAnsi="Times New Roman"/>
          <w:color w:val="000000" w:themeColor="text1"/>
          <w:spacing w:val="12"/>
          <w:szCs w:val="24"/>
        </w:rPr>
        <w:t>60% dari laba tahun buku 2011.</w:t>
      </w:r>
      <w:r w:rsidR="00DF272C">
        <w:rPr>
          <w:rFonts w:ascii="Times New Roman" w:hAnsi="Times New Roman"/>
          <w:color w:val="000000" w:themeColor="text1"/>
          <w:spacing w:val="12"/>
          <w:szCs w:val="24"/>
          <w:lang w:val="id-ID"/>
        </w:rPr>
        <w:t xml:space="preserve"> Tabel laba dan dividen PT Bukit Asam adalah</w:t>
      </w:r>
      <w:r w:rsidRPr="00A85BA0">
        <w:rPr>
          <w:rFonts w:ascii="Times New Roman" w:hAnsi="Times New Roman"/>
          <w:color w:val="000000" w:themeColor="text1"/>
          <w:spacing w:val="12"/>
          <w:szCs w:val="24"/>
        </w:rPr>
        <w:t xml:space="preserve"> </w:t>
      </w:r>
      <w:r w:rsidR="00DF272C">
        <w:rPr>
          <w:rFonts w:ascii="Times New Roman" w:hAnsi="Times New Roman"/>
          <w:color w:val="000000" w:themeColor="text1"/>
          <w:spacing w:val="12"/>
          <w:szCs w:val="24"/>
          <w:lang w:val="id-ID"/>
        </w:rPr>
        <w:t>sebagai</w:t>
      </w:r>
      <w:r w:rsidRPr="00A85BA0">
        <w:rPr>
          <w:rFonts w:ascii="Times New Roman" w:hAnsi="Times New Roman"/>
          <w:color w:val="000000" w:themeColor="text1"/>
          <w:spacing w:val="12"/>
          <w:szCs w:val="24"/>
        </w:rPr>
        <w:t>berikut.</w:t>
      </w:r>
    </w:p>
    <w:p w:rsidR="00DF272C" w:rsidRDefault="00DF272C" w:rsidP="00A85BA0">
      <w:pPr>
        <w:spacing w:after="0" w:line="360" w:lineRule="auto"/>
        <w:ind w:left="425" w:right="-45" w:firstLine="720"/>
        <w:jc w:val="both"/>
        <w:rPr>
          <w:rFonts w:ascii="Times New Roman" w:hAnsi="Times New Roman"/>
          <w:color w:val="000000" w:themeColor="text1"/>
          <w:spacing w:val="12"/>
          <w:szCs w:val="24"/>
          <w:lang w:val="id-ID"/>
        </w:rPr>
      </w:pPr>
    </w:p>
    <w:p w:rsidR="00DF272C" w:rsidRPr="00DF272C" w:rsidRDefault="00DF272C" w:rsidP="00A85BA0">
      <w:pPr>
        <w:spacing w:after="0" w:line="360" w:lineRule="auto"/>
        <w:ind w:left="425" w:right="-45" w:firstLine="720"/>
        <w:jc w:val="both"/>
        <w:rPr>
          <w:rFonts w:ascii="Times New Roman" w:hAnsi="Times New Roman"/>
          <w:color w:val="000000" w:themeColor="text1"/>
          <w:spacing w:val="14"/>
          <w:szCs w:val="24"/>
          <w:lang w:val="id-ID"/>
        </w:rPr>
      </w:pPr>
      <w:r>
        <w:rPr>
          <w:rFonts w:ascii="Times New Roman" w:hAnsi="Times New Roman"/>
          <w:color w:val="000000" w:themeColor="text1"/>
          <w:spacing w:val="14"/>
          <w:szCs w:val="24"/>
          <w:lang w:val="id-ID"/>
        </w:rPr>
        <w:t>Tabel Laba Bersih dan Dividen PT Bukit Asam</w:t>
      </w:r>
    </w:p>
    <w:tbl>
      <w:tblPr>
        <w:tblW w:w="0" w:type="auto"/>
        <w:tblInd w:w="10" w:type="dxa"/>
        <w:tblLayout w:type="fixed"/>
        <w:tblCellMar>
          <w:left w:w="0" w:type="dxa"/>
          <w:right w:w="0" w:type="dxa"/>
        </w:tblCellMar>
        <w:tblLook w:val="0000" w:firstRow="0" w:lastRow="0" w:firstColumn="0" w:lastColumn="0" w:noHBand="0" w:noVBand="0"/>
      </w:tblPr>
      <w:tblGrid>
        <w:gridCol w:w="1709"/>
        <w:gridCol w:w="1704"/>
        <w:gridCol w:w="1709"/>
        <w:gridCol w:w="1411"/>
        <w:gridCol w:w="1709"/>
      </w:tblGrid>
      <w:tr w:rsidR="00432133" w:rsidRPr="009131DA" w:rsidTr="00DF272C">
        <w:trPr>
          <w:trHeight w:hRule="exact" w:val="982"/>
        </w:trPr>
        <w:tc>
          <w:tcPr>
            <w:tcW w:w="1709" w:type="dxa"/>
            <w:tcBorders>
              <w:top w:val="single" w:sz="4" w:space="0" w:color="auto"/>
              <w:left w:val="nil"/>
              <w:bottom w:val="single" w:sz="4" w:space="0" w:color="auto"/>
              <w:right w:val="single" w:sz="4" w:space="0" w:color="auto"/>
            </w:tcBorders>
            <w:vAlign w:val="center"/>
          </w:tcPr>
          <w:p w:rsidR="00432133" w:rsidRPr="00683FA5" w:rsidRDefault="00432133" w:rsidP="00A85BA0">
            <w:pPr>
              <w:ind w:left="178"/>
              <w:rPr>
                <w:rFonts w:ascii="Times New Roman" w:hAnsi="Times New Roman"/>
                <w:color w:val="000000" w:themeColor="text1"/>
                <w:szCs w:val="24"/>
                <w:lang w:val="id-ID"/>
              </w:rPr>
            </w:pPr>
            <w:r>
              <w:rPr>
                <w:rFonts w:ascii="Times New Roman" w:hAnsi="Times New Roman"/>
                <w:color w:val="000000" w:themeColor="text1"/>
                <w:szCs w:val="24"/>
                <w:lang w:val="id-ID"/>
              </w:rPr>
              <w:t>Tahun Buku</w:t>
            </w:r>
          </w:p>
        </w:tc>
        <w:tc>
          <w:tcPr>
            <w:tcW w:w="1704" w:type="dxa"/>
            <w:tcBorders>
              <w:top w:val="single" w:sz="4" w:space="0" w:color="auto"/>
              <w:left w:val="single" w:sz="4" w:space="0" w:color="auto"/>
              <w:bottom w:val="single" w:sz="4" w:space="0" w:color="auto"/>
              <w:right w:val="single" w:sz="4" w:space="0" w:color="auto"/>
            </w:tcBorders>
            <w:vAlign w:val="center"/>
          </w:tcPr>
          <w:p w:rsidR="00432133" w:rsidRDefault="00432133" w:rsidP="00A85BA0">
            <w:pPr>
              <w:tabs>
                <w:tab w:val="decimal" w:pos="1316"/>
              </w:tabs>
              <w:jc w:val="center"/>
              <w:rPr>
                <w:rFonts w:ascii="Times New Roman" w:hAnsi="Times New Roman"/>
                <w:color w:val="000000" w:themeColor="text1"/>
                <w:szCs w:val="24"/>
                <w:lang w:val="id-ID"/>
              </w:rPr>
            </w:pPr>
            <w:r>
              <w:rPr>
                <w:rFonts w:ascii="Times New Roman" w:hAnsi="Times New Roman"/>
                <w:color w:val="000000" w:themeColor="text1"/>
                <w:szCs w:val="24"/>
                <w:lang w:val="id-ID"/>
              </w:rPr>
              <w:t>Laba Bersih</w:t>
            </w:r>
          </w:p>
          <w:p w:rsidR="00432133" w:rsidRPr="00683FA5" w:rsidRDefault="00432133" w:rsidP="00A85BA0">
            <w:pPr>
              <w:tabs>
                <w:tab w:val="decimal" w:pos="1316"/>
              </w:tabs>
              <w:jc w:val="center"/>
              <w:rPr>
                <w:rFonts w:ascii="Times New Roman" w:hAnsi="Times New Roman"/>
                <w:color w:val="000000" w:themeColor="text1"/>
                <w:szCs w:val="24"/>
                <w:lang w:val="id-ID"/>
              </w:rPr>
            </w:pPr>
            <w:r>
              <w:rPr>
                <w:rFonts w:ascii="Times New Roman" w:hAnsi="Times New Roman"/>
                <w:color w:val="000000" w:themeColor="text1"/>
                <w:szCs w:val="24"/>
                <w:lang w:val="id-ID"/>
              </w:rPr>
              <w:t>(juta Rp)</w:t>
            </w:r>
          </w:p>
        </w:tc>
        <w:tc>
          <w:tcPr>
            <w:tcW w:w="1709" w:type="dxa"/>
            <w:tcBorders>
              <w:top w:val="single" w:sz="4" w:space="0" w:color="auto"/>
              <w:left w:val="single" w:sz="4" w:space="0" w:color="auto"/>
              <w:bottom w:val="single" w:sz="4" w:space="0" w:color="auto"/>
              <w:right w:val="single" w:sz="4" w:space="0" w:color="auto"/>
            </w:tcBorders>
            <w:vAlign w:val="center"/>
          </w:tcPr>
          <w:p w:rsidR="00432133" w:rsidRDefault="00432133" w:rsidP="00A85BA0">
            <w:pPr>
              <w:tabs>
                <w:tab w:val="decimal" w:pos="1335"/>
              </w:tabs>
              <w:rPr>
                <w:rFonts w:ascii="Times New Roman" w:hAnsi="Times New Roman"/>
                <w:color w:val="000000" w:themeColor="text1"/>
                <w:szCs w:val="24"/>
                <w:lang w:val="id-ID"/>
              </w:rPr>
            </w:pPr>
            <w:r>
              <w:rPr>
                <w:rFonts w:ascii="Times New Roman" w:hAnsi="Times New Roman"/>
                <w:color w:val="000000" w:themeColor="text1"/>
                <w:szCs w:val="24"/>
                <w:lang w:val="id-ID"/>
              </w:rPr>
              <w:t>Dividen yang dibagikan (juta Rp)</w:t>
            </w:r>
          </w:p>
          <w:p w:rsidR="00432133" w:rsidRDefault="00432133" w:rsidP="00A85BA0">
            <w:pPr>
              <w:tabs>
                <w:tab w:val="decimal" w:pos="1335"/>
              </w:tabs>
              <w:jc w:val="center"/>
              <w:rPr>
                <w:rFonts w:ascii="Times New Roman" w:hAnsi="Times New Roman"/>
                <w:color w:val="000000" w:themeColor="text1"/>
                <w:szCs w:val="24"/>
                <w:lang w:val="id-ID"/>
              </w:rPr>
            </w:pPr>
          </w:p>
          <w:p w:rsidR="00432133" w:rsidRPr="00683FA5" w:rsidRDefault="00432133" w:rsidP="00A85BA0">
            <w:pPr>
              <w:tabs>
                <w:tab w:val="decimal" w:pos="1335"/>
              </w:tabs>
              <w:jc w:val="center"/>
              <w:rPr>
                <w:rFonts w:ascii="Times New Roman" w:hAnsi="Times New Roman"/>
                <w:color w:val="000000" w:themeColor="text1"/>
                <w:szCs w:val="24"/>
                <w:lang w:val="id-ID"/>
              </w:rPr>
            </w:pPr>
          </w:p>
        </w:tc>
        <w:tc>
          <w:tcPr>
            <w:tcW w:w="1411" w:type="dxa"/>
            <w:tcBorders>
              <w:top w:val="single" w:sz="4" w:space="0" w:color="auto"/>
              <w:left w:val="single" w:sz="4" w:space="0" w:color="auto"/>
              <w:bottom w:val="single" w:sz="4" w:space="0" w:color="auto"/>
              <w:right w:val="single" w:sz="4" w:space="0" w:color="auto"/>
            </w:tcBorders>
            <w:vAlign w:val="center"/>
          </w:tcPr>
          <w:p w:rsidR="00432133" w:rsidRPr="00683FA5" w:rsidRDefault="00432133" w:rsidP="00A85BA0">
            <w:pPr>
              <w:ind w:right="62"/>
              <w:jc w:val="center"/>
              <w:rPr>
                <w:rFonts w:ascii="Times New Roman" w:hAnsi="Times New Roman"/>
                <w:color w:val="000000" w:themeColor="text1"/>
                <w:szCs w:val="24"/>
                <w:lang w:val="id-ID"/>
              </w:rPr>
            </w:pPr>
            <w:r>
              <w:rPr>
                <w:rFonts w:ascii="Times New Roman" w:hAnsi="Times New Roman"/>
                <w:color w:val="000000" w:themeColor="text1"/>
                <w:szCs w:val="24"/>
                <w:lang w:val="id-ID"/>
              </w:rPr>
              <w:t>Dividen per Saham (Rp)</w:t>
            </w:r>
          </w:p>
        </w:tc>
        <w:tc>
          <w:tcPr>
            <w:tcW w:w="1709" w:type="dxa"/>
            <w:tcBorders>
              <w:top w:val="single" w:sz="4" w:space="0" w:color="auto"/>
              <w:left w:val="single" w:sz="4" w:space="0" w:color="auto"/>
              <w:bottom w:val="single" w:sz="4" w:space="0" w:color="auto"/>
              <w:right w:val="nil"/>
            </w:tcBorders>
            <w:vAlign w:val="center"/>
          </w:tcPr>
          <w:p w:rsidR="00432133" w:rsidRPr="00683FA5" w:rsidRDefault="00432133" w:rsidP="00A85BA0">
            <w:pPr>
              <w:ind w:right="63"/>
              <w:jc w:val="center"/>
              <w:rPr>
                <w:rFonts w:ascii="Times New Roman" w:hAnsi="Times New Roman"/>
                <w:color w:val="000000" w:themeColor="text1"/>
                <w:szCs w:val="24"/>
                <w:lang w:val="id-ID"/>
              </w:rPr>
            </w:pPr>
            <w:r>
              <w:rPr>
                <w:rFonts w:ascii="Times New Roman" w:hAnsi="Times New Roman"/>
                <w:color w:val="000000" w:themeColor="text1"/>
                <w:szCs w:val="24"/>
                <w:lang w:val="id-ID"/>
              </w:rPr>
              <w:t>Rasio Pembayaran</w:t>
            </w:r>
          </w:p>
        </w:tc>
      </w:tr>
      <w:tr w:rsidR="00432133" w:rsidRPr="009131DA" w:rsidTr="00A85BA0">
        <w:trPr>
          <w:trHeight w:hRule="exact" w:val="365"/>
        </w:trPr>
        <w:tc>
          <w:tcPr>
            <w:tcW w:w="1709" w:type="dxa"/>
            <w:tcBorders>
              <w:top w:val="nil"/>
              <w:left w:val="nil"/>
              <w:bottom w:val="single" w:sz="4" w:space="0" w:color="auto"/>
              <w:right w:val="single" w:sz="4" w:space="0" w:color="auto"/>
            </w:tcBorders>
            <w:vAlign w:val="center"/>
          </w:tcPr>
          <w:p w:rsidR="00432133" w:rsidRPr="009131DA" w:rsidRDefault="00432133" w:rsidP="00A85BA0">
            <w:pPr>
              <w:ind w:left="178"/>
              <w:rPr>
                <w:rFonts w:ascii="Times New Roman" w:hAnsi="Times New Roman"/>
                <w:color w:val="000000" w:themeColor="text1"/>
                <w:szCs w:val="24"/>
              </w:rPr>
            </w:pPr>
            <w:r w:rsidRPr="009131DA">
              <w:rPr>
                <w:rFonts w:ascii="Times New Roman" w:hAnsi="Times New Roman"/>
                <w:color w:val="000000" w:themeColor="text1"/>
                <w:szCs w:val="24"/>
              </w:rPr>
              <w:t>2005</w:t>
            </w:r>
          </w:p>
        </w:tc>
        <w:tc>
          <w:tcPr>
            <w:tcW w:w="1704" w:type="dxa"/>
            <w:tcBorders>
              <w:top w:val="nil"/>
              <w:left w:val="single" w:sz="4" w:space="0" w:color="auto"/>
              <w:bottom w:val="single" w:sz="4" w:space="0" w:color="auto"/>
              <w:right w:val="single" w:sz="4" w:space="0" w:color="auto"/>
            </w:tcBorders>
            <w:vAlign w:val="center"/>
          </w:tcPr>
          <w:p w:rsidR="00432133" w:rsidRPr="009131DA" w:rsidRDefault="00432133" w:rsidP="00A85BA0">
            <w:pPr>
              <w:tabs>
                <w:tab w:val="decimal" w:pos="1316"/>
              </w:tabs>
              <w:rPr>
                <w:rFonts w:ascii="Times New Roman" w:hAnsi="Times New Roman"/>
                <w:color w:val="000000" w:themeColor="text1"/>
                <w:szCs w:val="24"/>
              </w:rPr>
            </w:pPr>
            <w:r w:rsidRPr="009131DA">
              <w:rPr>
                <w:rFonts w:ascii="Times New Roman" w:hAnsi="Times New Roman"/>
                <w:color w:val="000000" w:themeColor="text1"/>
                <w:szCs w:val="24"/>
              </w:rPr>
              <w:t>467.060</w:t>
            </w:r>
          </w:p>
        </w:tc>
        <w:tc>
          <w:tcPr>
            <w:tcW w:w="1709" w:type="dxa"/>
            <w:tcBorders>
              <w:top w:val="nil"/>
              <w:left w:val="single" w:sz="4" w:space="0" w:color="auto"/>
              <w:bottom w:val="single" w:sz="4" w:space="0" w:color="auto"/>
              <w:right w:val="single" w:sz="4" w:space="0" w:color="auto"/>
            </w:tcBorders>
            <w:vAlign w:val="center"/>
          </w:tcPr>
          <w:p w:rsidR="00432133" w:rsidRPr="009131DA" w:rsidRDefault="00432133" w:rsidP="00A85BA0">
            <w:pPr>
              <w:tabs>
                <w:tab w:val="decimal" w:pos="1335"/>
              </w:tabs>
              <w:rPr>
                <w:rFonts w:ascii="Times New Roman" w:hAnsi="Times New Roman"/>
                <w:color w:val="000000" w:themeColor="text1"/>
                <w:szCs w:val="24"/>
              </w:rPr>
            </w:pPr>
            <w:r w:rsidRPr="009131DA">
              <w:rPr>
                <w:rFonts w:ascii="Times New Roman" w:hAnsi="Times New Roman"/>
                <w:color w:val="000000" w:themeColor="text1"/>
                <w:szCs w:val="24"/>
              </w:rPr>
              <w:t>233.530</w:t>
            </w:r>
          </w:p>
        </w:tc>
        <w:tc>
          <w:tcPr>
            <w:tcW w:w="1411" w:type="dxa"/>
            <w:tcBorders>
              <w:top w:val="nil"/>
              <w:left w:val="single" w:sz="4" w:space="0" w:color="auto"/>
              <w:bottom w:val="single" w:sz="4" w:space="0" w:color="auto"/>
              <w:right w:val="single" w:sz="4" w:space="0" w:color="auto"/>
            </w:tcBorders>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101,35</w:t>
            </w:r>
          </w:p>
        </w:tc>
        <w:tc>
          <w:tcPr>
            <w:tcW w:w="1709" w:type="dxa"/>
            <w:tcBorders>
              <w:top w:val="nil"/>
              <w:left w:val="single" w:sz="4" w:space="0" w:color="auto"/>
              <w:bottom w:val="single" w:sz="4" w:space="0" w:color="auto"/>
              <w:right w:val="nil"/>
            </w:tcBorders>
            <w:vAlign w:val="center"/>
          </w:tcPr>
          <w:p w:rsidR="00432133" w:rsidRPr="009131DA" w:rsidRDefault="00432133" w:rsidP="00A85BA0">
            <w:pPr>
              <w:ind w:right="63"/>
              <w:jc w:val="right"/>
              <w:rPr>
                <w:rFonts w:ascii="Times New Roman" w:hAnsi="Times New Roman"/>
                <w:color w:val="000000" w:themeColor="text1"/>
                <w:szCs w:val="24"/>
              </w:rPr>
            </w:pPr>
            <w:r w:rsidRPr="009131DA">
              <w:rPr>
                <w:rFonts w:ascii="Times New Roman" w:hAnsi="Times New Roman"/>
                <w:color w:val="000000" w:themeColor="text1"/>
                <w:szCs w:val="24"/>
              </w:rPr>
              <w:t>50%</w:t>
            </w:r>
          </w:p>
        </w:tc>
      </w:tr>
      <w:tr w:rsidR="00432133" w:rsidRPr="009131DA" w:rsidTr="00A85BA0">
        <w:trPr>
          <w:trHeight w:hRule="exact" w:val="355"/>
        </w:trPr>
        <w:tc>
          <w:tcPr>
            <w:tcW w:w="1709" w:type="dxa"/>
            <w:tcBorders>
              <w:top w:val="single" w:sz="4" w:space="0" w:color="auto"/>
              <w:left w:val="nil"/>
              <w:bottom w:val="single" w:sz="4" w:space="0" w:color="auto"/>
              <w:right w:val="single" w:sz="4" w:space="0" w:color="auto"/>
            </w:tcBorders>
            <w:vAlign w:val="center"/>
          </w:tcPr>
          <w:p w:rsidR="00432133" w:rsidRPr="009131DA" w:rsidRDefault="00432133" w:rsidP="00A85BA0">
            <w:pPr>
              <w:ind w:left="178"/>
              <w:rPr>
                <w:rFonts w:ascii="Times New Roman" w:hAnsi="Times New Roman"/>
                <w:color w:val="000000" w:themeColor="text1"/>
                <w:spacing w:val="20"/>
                <w:szCs w:val="24"/>
              </w:rPr>
            </w:pPr>
            <w:r w:rsidRPr="009131DA">
              <w:rPr>
                <w:rFonts w:ascii="Times New Roman" w:hAnsi="Times New Roman"/>
                <w:color w:val="000000" w:themeColor="text1"/>
                <w:spacing w:val="20"/>
                <w:szCs w:val="24"/>
              </w:rPr>
              <w:t>2006</w:t>
            </w:r>
          </w:p>
        </w:tc>
        <w:tc>
          <w:tcPr>
            <w:tcW w:w="170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tabs>
                <w:tab w:val="decimal" w:pos="1316"/>
              </w:tabs>
              <w:rPr>
                <w:rFonts w:ascii="Times New Roman" w:hAnsi="Times New Roman"/>
                <w:color w:val="000000" w:themeColor="text1"/>
                <w:szCs w:val="24"/>
              </w:rPr>
            </w:pPr>
            <w:r w:rsidRPr="009131DA">
              <w:rPr>
                <w:rFonts w:ascii="Times New Roman" w:hAnsi="Times New Roman"/>
                <w:color w:val="000000" w:themeColor="text1"/>
                <w:szCs w:val="24"/>
              </w:rPr>
              <w:t>485.670</w:t>
            </w:r>
          </w:p>
        </w:tc>
        <w:tc>
          <w:tcPr>
            <w:tcW w:w="1709"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tabs>
                <w:tab w:val="decimal" w:pos="1335"/>
              </w:tabs>
              <w:rPr>
                <w:rFonts w:ascii="Times New Roman" w:hAnsi="Times New Roman"/>
                <w:color w:val="000000" w:themeColor="text1"/>
                <w:szCs w:val="24"/>
              </w:rPr>
            </w:pPr>
            <w:r w:rsidRPr="009131DA">
              <w:rPr>
                <w:rFonts w:ascii="Times New Roman" w:hAnsi="Times New Roman"/>
                <w:color w:val="000000" w:themeColor="text1"/>
                <w:szCs w:val="24"/>
              </w:rPr>
              <w:t>242.835</w:t>
            </w:r>
          </w:p>
        </w:tc>
        <w:tc>
          <w:tcPr>
            <w:tcW w:w="1411"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105,39</w:t>
            </w:r>
          </w:p>
        </w:tc>
        <w:tc>
          <w:tcPr>
            <w:tcW w:w="1709"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3"/>
              <w:jc w:val="right"/>
              <w:rPr>
                <w:rFonts w:ascii="Times New Roman" w:hAnsi="Times New Roman"/>
                <w:color w:val="000000" w:themeColor="text1"/>
                <w:szCs w:val="24"/>
              </w:rPr>
            </w:pPr>
            <w:r w:rsidRPr="009131DA">
              <w:rPr>
                <w:rFonts w:ascii="Times New Roman" w:hAnsi="Times New Roman"/>
                <w:color w:val="000000" w:themeColor="text1"/>
                <w:szCs w:val="24"/>
              </w:rPr>
              <w:t>50%</w:t>
            </w:r>
          </w:p>
        </w:tc>
      </w:tr>
      <w:tr w:rsidR="00432133" w:rsidRPr="009131DA" w:rsidTr="00A85BA0">
        <w:trPr>
          <w:trHeight w:hRule="exact" w:val="356"/>
        </w:trPr>
        <w:tc>
          <w:tcPr>
            <w:tcW w:w="1709" w:type="dxa"/>
            <w:tcBorders>
              <w:top w:val="single" w:sz="4" w:space="0" w:color="auto"/>
              <w:left w:val="nil"/>
              <w:bottom w:val="single" w:sz="4" w:space="0" w:color="auto"/>
              <w:right w:val="single" w:sz="4" w:space="0" w:color="auto"/>
            </w:tcBorders>
            <w:vAlign w:val="center"/>
          </w:tcPr>
          <w:p w:rsidR="00432133" w:rsidRPr="009131DA" w:rsidRDefault="00432133" w:rsidP="00A85BA0">
            <w:pPr>
              <w:ind w:left="178"/>
              <w:rPr>
                <w:rFonts w:ascii="Times New Roman" w:hAnsi="Times New Roman"/>
                <w:color w:val="000000" w:themeColor="text1"/>
                <w:szCs w:val="24"/>
              </w:rPr>
            </w:pPr>
            <w:r w:rsidRPr="009131DA">
              <w:rPr>
                <w:rFonts w:ascii="Times New Roman" w:hAnsi="Times New Roman"/>
                <w:color w:val="000000" w:themeColor="text1"/>
                <w:szCs w:val="24"/>
              </w:rPr>
              <w:t>2007</w:t>
            </w:r>
          </w:p>
        </w:tc>
        <w:tc>
          <w:tcPr>
            <w:tcW w:w="170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tabs>
                <w:tab w:val="decimal" w:pos="1316"/>
              </w:tabs>
              <w:rPr>
                <w:rFonts w:ascii="Times New Roman" w:hAnsi="Times New Roman"/>
                <w:color w:val="000000" w:themeColor="text1"/>
                <w:szCs w:val="24"/>
              </w:rPr>
            </w:pPr>
            <w:r w:rsidRPr="009131DA">
              <w:rPr>
                <w:rFonts w:ascii="Times New Roman" w:hAnsi="Times New Roman"/>
                <w:color w:val="000000" w:themeColor="text1"/>
                <w:szCs w:val="24"/>
              </w:rPr>
              <w:t>760.207</w:t>
            </w:r>
          </w:p>
        </w:tc>
        <w:tc>
          <w:tcPr>
            <w:tcW w:w="1709"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tabs>
                <w:tab w:val="decimal" w:pos="1335"/>
              </w:tabs>
              <w:rPr>
                <w:rFonts w:ascii="Times New Roman" w:hAnsi="Times New Roman"/>
                <w:color w:val="000000" w:themeColor="text1"/>
                <w:szCs w:val="24"/>
              </w:rPr>
            </w:pPr>
            <w:r w:rsidRPr="009131DA">
              <w:rPr>
                <w:rFonts w:ascii="Times New Roman" w:hAnsi="Times New Roman"/>
                <w:color w:val="000000" w:themeColor="text1"/>
                <w:szCs w:val="24"/>
              </w:rPr>
              <w:t>380.104</w:t>
            </w:r>
          </w:p>
        </w:tc>
        <w:tc>
          <w:tcPr>
            <w:tcW w:w="1411"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164,97</w:t>
            </w:r>
          </w:p>
        </w:tc>
        <w:tc>
          <w:tcPr>
            <w:tcW w:w="1709"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3"/>
              <w:jc w:val="right"/>
              <w:rPr>
                <w:rFonts w:ascii="Times New Roman" w:hAnsi="Times New Roman"/>
                <w:color w:val="000000" w:themeColor="text1"/>
                <w:szCs w:val="24"/>
              </w:rPr>
            </w:pPr>
            <w:r w:rsidRPr="009131DA">
              <w:rPr>
                <w:rFonts w:ascii="Times New Roman" w:hAnsi="Times New Roman"/>
                <w:color w:val="000000" w:themeColor="text1"/>
                <w:szCs w:val="24"/>
              </w:rPr>
              <w:t>50%</w:t>
            </w:r>
          </w:p>
        </w:tc>
      </w:tr>
      <w:tr w:rsidR="00432133" w:rsidRPr="009131DA" w:rsidTr="00A85BA0">
        <w:trPr>
          <w:trHeight w:hRule="exact" w:val="355"/>
        </w:trPr>
        <w:tc>
          <w:tcPr>
            <w:tcW w:w="1709" w:type="dxa"/>
            <w:tcBorders>
              <w:top w:val="single" w:sz="4" w:space="0" w:color="auto"/>
              <w:left w:val="nil"/>
              <w:bottom w:val="single" w:sz="4" w:space="0" w:color="auto"/>
              <w:right w:val="single" w:sz="4" w:space="0" w:color="auto"/>
            </w:tcBorders>
            <w:vAlign w:val="center"/>
          </w:tcPr>
          <w:p w:rsidR="00432133" w:rsidRPr="009131DA" w:rsidRDefault="00432133" w:rsidP="00A85BA0">
            <w:pPr>
              <w:ind w:left="178"/>
              <w:rPr>
                <w:rFonts w:ascii="Times New Roman" w:hAnsi="Times New Roman"/>
                <w:color w:val="000000" w:themeColor="text1"/>
                <w:spacing w:val="20"/>
                <w:szCs w:val="24"/>
              </w:rPr>
            </w:pPr>
            <w:r w:rsidRPr="009131DA">
              <w:rPr>
                <w:rFonts w:ascii="Times New Roman" w:hAnsi="Times New Roman"/>
                <w:color w:val="000000" w:themeColor="text1"/>
                <w:spacing w:val="20"/>
                <w:szCs w:val="24"/>
              </w:rPr>
              <w:t>2008</w:t>
            </w:r>
          </w:p>
        </w:tc>
        <w:tc>
          <w:tcPr>
            <w:tcW w:w="170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1.707.770</w:t>
            </w:r>
          </w:p>
        </w:tc>
        <w:tc>
          <w:tcPr>
            <w:tcW w:w="1709"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tabs>
                <w:tab w:val="decimal" w:pos="1335"/>
              </w:tabs>
              <w:rPr>
                <w:rFonts w:ascii="Times New Roman" w:hAnsi="Times New Roman"/>
                <w:color w:val="000000" w:themeColor="text1"/>
                <w:szCs w:val="24"/>
              </w:rPr>
            </w:pPr>
            <w:r w:rsidRPr="009131DA">
              <w:rPr>
                <w:rFonts w:ascii="Times New Roman" w:hAnsi="Times New Roman"/>
                <w:color w:val="000000" w:themeColor="text1"/>
                <w:szCs w:val="24"/>
              </w:rPr>
              <w:t>853.885</w:t>
            </w:r>
          </w:p>
        </w:tc>
        <w:tc>
          <w:tcPr>
            <w:tcW w:w="1411"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371,05</w:t>
            </w:r>
          </w:p>
        </w:tc>
        <w:tc>
          <w:tcPr>
            <w:tcW w:w="1709"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3"/>
              <w:jc w:val="right"/>
              <w:rPr>
                <w:rFonts w:ascii="Times New Roman" w:hAnsi="Times New Roman"/>
                <w:color w:val="000000" w:themeColor="text1"/>
                <w:szCs w:val="24"/>
              </w:rPr>
            </w:pPr>
            <w:r w:rsidRPr="009131DA">
              <w:rPr>
                <w:rFonts w:ascii="Times New Roman" w:hAnsi="Times New Roman"/>
                <w:color w:val="000000" w:themeColor="text1"/>
                <w:szCs w:val="24"/>
              </w:rPr>
              <w:t>50%</w:t>
            </w:r>
          </w:p>
        </w:tc>
      </w:tr>
      <w:tr w:rsidR="00432133" w:rsidRPr="009131DA" w:rsidTr="00A85BA0">
        <w:trPr>
          <w:trHeight w:hRule="exact" w:val="355"/>
        </w:trPr>
        <w:tc>
          <w:tcPr>
            <w:tcW w:w="1709" w:type="dxa"/>
            <w:tcBorders>
              <w:top w:val="single" w:sz="4" w:space="0" w:color="auto"/>
              <w:left w:val="nil"/>
              <w:bottom w:val="single" w:sz="4" w:space="0" w:color="auto"/>
              <w:right w:val="single" w:sz="4" w:space="0" w:color="auto"/>
            </w:tcBorders>
            <w:vAlign w:val="center"/>
          </w:tcPr>
          <w:p w:rsidR="00432133" w:rsidRPr="009131DA" w:rsidRDefault="00432133" w:rsidP="00A85BA0">
            <w:pPr>
              <w:ind w:left="178"/>
              <w:rPr>
                <w:rFonts w:ascii="Times New Roman" w:hAnsi="Times New Roman"/>
                <w:color w:val="000000" w:themeColor="text1"/>
                <w:spacing w:val="20"/>
                <w:szCs w:val="24"/>
              </w:rPr>
            </w:pPr>
            <w:r w:rsidRPr="009131DA">
              <w:rPr>
                <w:rFonts w:ascii="Times New Roman" w:hAnsi="Times New Roman"/>
                <w:color w:val="000000" w:themeColor="text1"/>
                <w:spacing w:val="20"/>
                <w:szCs w:val="24"/>
              </w:rPr>
              <w:t>2009</w:t>
            </w:r>
          </w:p>
        </w:tc>
        <w:tc>
          <w:tcPr>
            <w:tcW w:w="170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2.727.734</w:t>
            </w:r>
          </w:p>
        </w:tc>
        <w:tc>
          <w:tcPr>
            <w:tcW w:w="1709"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67"/>
              <w:jc w:val="right"/>
              <w:rPr>
                <w:rFonts w:ascii="Times New Roman" w:hAnsi="Times New Roman"/>
                <w:color w:val="000000" w:themeColor="text1"/>
                <w:szCs w:val="24"/>
              </w:rPr>
            </w:pPr>
            <w:r w:rsidRPr="009131DA">
              <w:rPr>
                <w:rFonts w:ascii="Times New Roman" w:hAnsi="Times New Roman"/>
                <w:color w:val="000000" w:themeColor="text1"/>
                <w:szCs w:val="24"/>
              </w:rPr>
              <w:t>1.227.480</w:t>
            </w:r>
          </w:p>
        </w:tc>
        <w:tc>
          <w:tcPr>
            <w:tcW w:w="1411"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532,73</w:t>
            </w:r>
          </w:p>
        </w:tc>
        <w:tc>
          <w:tcPr>
            <w:tcW w:w="1709"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3"/>
              <w:jc w:val="right"/>
              <w:rPr>
                <w:rFonts w:ascii="Times New Roman" w:hAnsi="Times New Roman"/>
                <w:color w:val="000000" w:themeColor="text1"/>
                <w:szCs w:val="24"/>
              </w:rPr>
            </w:pPr>
            <w:r w:rsidRPr="009131DA">
              <w:rPr>
                <w:rFonts w:ascii="Times New Roman" w:hAnsi="Times New Roman"/>
                <w:color w:val="000000" w:themeColor="text1"/>
                <w:szCs w:val="24"/>
              </w:rPr>
              <w:t>45%</w:t>
            </w:r>
          </w:p>
        </w:tc>
      </w:tr>
      <w:tr w:rsidR="00432133" w:rsidRPr="009131DA" w:rsidTr="00A85BA0">
        <w:trPr>
          <w:trHeight w:hRule="exact" w:val="355"/>
        </w:trPr>
        <w:tc>
          <w:tcPr>
            <w:tcW w:w="1709" w:type="dxa"/>
            <w:tcBorders>
              <w:top w:val="single" w:sz="4" w:space="0" w:color="auto"/>
              <w:left w:val="nil"/>
              <w:bottom w:val="single" w:sz="4" w:space="0" w:color="auto"/>
              <w:right w:val="single" w:sz="4" w:space="0" w:color="auto"/>
            </w:tcBorders>
            <w:vAlign w:val="center"/>
          </w:tcPr>
          <w:p w:rsidR="00432133" w:rsidRPr="009131DA" w:rsidRDefault="00432133" w:rsidP="00A85BA0">
            <w:pPr>
              <w:ind w:left="178"/>
              <w:rPr>
                <w:rFonts w:ascii="Times New Roman" w:hAnsi="Times New Roman"/>
                <w:color w:val="000000" w:themeColor="text1"/>
                <w:szCs w:val="24"/>
              </w:rPr>
            </w:pPr>
            <w:r w:rsidRPr="009131DA">
              <w:rPr>
                <w:rFonts w:ascii="Times New Roman" w:hAnsi="Times New Roman"/>
                <w:color w:val="000000" w:themeColor="text1"/>
                <w:szCs w:val="24"/>
              </w:rPr>
              <w:t>2010</w:t>
            </w:r>
          </w:p>
        </w:tc>
        <w:tc>
          <w:tcPr>
            <w:tcW w:w="1704"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62"/>
              <w:jc w:val="right"/>
              <w:rPr>
                <w:rFonts w:ascii="Times New Roman" w:hAnsi="Times New Roman"/>
                <w:color w:val="000000" w:themeColor="text1"/>
                <w:spacing w:val="8"/>
                <w:szCs w:val="24"/>
              </w:rPr>
            </w:pPr>
            <w:r w:rsidRPr="009131DA">
              <w:rPr>
                <w:rFonts w:ascii="Times New Roman" w:hAnsi="Times New Roman"/>
                <w:color w:val="000000" w:themeColor="text1"/>
                <w:spacing w:val="8"/>
                <w:szCs w:val="24"/>
              </w:rPr>
              <w:t>2.008.891</w:t>
            </w:r>
          </w:p>
        </w:tc>
        <w:tc>
          <w:tcPr>
            <w:tcW w:w="1709"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67"/>
              <w:jc w:val="right"/>
              <w:rPr>
                <w:rFonts w:ascii="Times New Roman" w:hAnsi="Times New Roman"/>
                <w:color w:val="000000" w:themeColor="text1"/>
                <w:spacing w:val="8"/>
                <w:szCs w:val="24"/>
              </w:rPr>
            </w:pPr>
            <w:r w:rsidRPr="009131DA">
              <w:rPr>
                <w:rFonts w:ascii="Times New Roman" w:hAnsi="Times New Roman"/>
                <w:color w:val="000000" w:themeColor="text1"/>
                <w:spacing w:val="8"/>
                <w:szCs w:val="24"/>
              </w:rPr>
              <w:t>1.043.366</w:t>
            </w:r>
          </w:p>
        </w:tc>
        <w:tc>
          <w:tcPr>
            <w:tcW w:w="1411" w:type="dxa"/>
            <w:tcBorders>
              <w:top w:val="single" w:sz="4" w:space="0" w:color="auto"/>
              <w:left w:val="single" w:sz="4" w:space="0" w:color="auto"/>
              <w:bottom w:val="single" w:sz="4" w:space="0" w:color="auto"/>
              <w:right w:val="single" w:sz="4" w:space="0" w:color="auto"/>
            </w:tcBorders>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452,85</w:t>
            </w:r>
          </w:p>
        </w:tc>
        <w:tc>
          <w:tcPr>
            <w:tcW w:w="1709" w:type="dxa"/>
            <w:tcBorders>
              <w:top w:val="single" w:sz="4" w:space="0" w:color="auto"/>
              <w:left w:val="single" w:sz="4" w:space="0" w:color="auto"/>
              <w:bottom w:val="single" w:sz="4" w:space="0" w:color="auto"/>
              <w:right w:val="nil"/>
            </w:tcBorders>
            <w:vAlign w:val="center"/>
          </w:tcPr>
          <w:p w:rsidR="00432133" w:rsidRPr="009131DA" w:rsidRDefault="00432133" w:rsidP="00A85BA0">
            <w:pPr>
              <w:ind w:right="63"/>
              <w:jc w:val="right"/>
              <w:rPr>
                <w:rFonts w:ascii="Times New Roman" w:hAnsi="Times New Roman"/>
                <w:color w:val="000000" w:themeColor="text1"/>
                <w:szCs w:val="24"/>
              </w:rPr>
            </w:pPr>
            <w:r w:rsidRPr="009131DA">
              <w:rPr>
                <w:rFonts w:ascii="Times New Roman" w:hAnsi="Times New Roman"/>
                <w:color w:val="000000" w:themeColor="text1"/>
                <w:szCs w:val="24"/>
              </w:rPr>
              <w:t>52%</w:t>
            </w:r>
          </w:p>
        </w:tc>
      </w:tr>
      <w:tr w:rsidR="00432133" w:rsidRPr="009131DA" w:rsidTr="00A85BA0">
        <w:trPr>
          <w:trHeight w:hRule="exact" w:val="360"/>
        </w:trPr>
        <w:tc>
          <w:tcPr>
            <w:tcW w:w="1709" w:type="dxa"/>
            <w:tcBorders>
              <w:top w:val="single" w:sz="4" w:space="0" w:color="auto"/>
              <w:left w:val="nil"/>
              <w:bottom w:val="single" w:sz="4" w:space="0" w:color="auto"/>
              <w:right w:val="single" w:sz="4" w:space="0" w:color="auto"/>
            </w:tcBorders>
            <w:shd w:val="solid" w:color="D6E3EE" w:fill="auto"/>
            <w:vAlign w:val="center"/>
          </w:tcPr>
          <w:p w:rsidR="00432133" w:rsidRPr="009131DA" w:rsidRDefault="00432133" w:rsidP="00A85BA0">
            <w:pPr>
              <w:ind w:left="178"/>
              <w:rPr>
                <w:rFonts w:ascii="Times New Roman" w:hAnsi="Times New Roman"/>
                <w:color w:val="000000" w:themeColor="text1"/>
                <w:szCs w:val="24"/>
              </w:rPr>
            </w:pPr>
            <w:r w:rsidRPr="009131DA">
              <w:rPr>
                <w:rFonts w:ascii="Times New Roman" w:hAnsi="Times New Roman"/>
                <w:color w:val="000000" w:themeColor="text1"/>
                <w:szCs w:val="24"/>
              </w:rPr>
              <w:t>2011</w:t>
            </w:r>
          </w:p>
        </w:tc>
        <w:tc>
          <w:tcPr>
            <w:tcW w:w="1704" w:type="dxa"/>
            <w:tcBorders>
              <w:top w:val="single" w:sz="4" w:space="0" w:color="auto"/>
              <w:left w:val="single" w:sz="4" w:space="0" w:color="auto"/>
              <w:bottom w:val="single" w:sz="4" w:space="0" w:color="auto"/>
              <w:right w:val="single" w:sz="4" w:space="0" w:color="auto"/>
            </w:tcBorders>
            <w:shd w:val="solid" w:color="D6E3EE" w:fill="auto"/>
            <w:vAlign w:val="center"/>
          </w:tcPr>
          <w:p w:rsidR="00432133" w:rsidRPr="009131DA" w:rsidRDefault="00432133" w:rsidP="00A85BA0">
            <w:pPr>
              <w:ind w:right="62"/>
              <w:jc w:val="right"/>
              <w:rPr>
                <w:rFonts w:ascii="Times New Roman" w:hAnsi="Times New Roman"/>
                <w:color w:val="000000" w:themeColor="text1"/>
                <w:spacing w:val="10"/>
                <w:szCs w:val="24"/>
              </w:rPr>
            </w:pPr>
            <w:r w:rsidRPr="009131DA">
              <w:rPr>
                <w:rFonts w:ascii="Times New Roman" w:hAnsi="Times New Roman"/>
                <w:color w:val="000000" w:themeColor="text1"/>
                <w:spacing w:val="10"/>
                <w:szCs w:val="24"/>
              </w:rPr>
              <w:t>3.085.837</w:t>
            </w:r>
          </w:p>
        </w:tc>
        <w:tc>
          <w:tcPr>
            <w:tcW w:w="1709" w:type="dxa"/>
            <w:tcBorders>
              <w:top w:val="single" w:sz="4" w:space="0" w:color="auto"/>
              <w:left w:val="single" w:sz="4" w:space="0" w:color="auto"/>
              <w:bottom w:val="single" w:sz="4" w:space="0" w:color="auto"/>
              <w:right w:val="single" w:sz="4" w:space="0" w:color="auto"/>
            </w:tcBorders>
            <w:shd w:val="solid" w:color="D6E3EE" w:fill="auto"/>
            <w:vAlign w:val="center"/>
          </w:tcPr>
          <w:p w:rsidR="00432133" w:rsidRPr="009131DA" w:rsidRDefault="00432133" w:rsidP="00A85BA0">
            <w:pPr>
              <w:ind w:right="67"/>
              <w:jc w:val="right"/>
              <w:rPr>
                <w:rFonts w:ascii="Times New Roman" w:hAnsi="Times New Roman"/>
                <w:color w:val="000000" w:themeColor="text1"/>
                <w:szCs w:val="24"/>
              </w:rPr>
            </w:pPr>
            <w:r w:rsidRPr="009131DA">
              <w:rPr>
                <w:rFonts w:ascii="Times New Roman" w:hAnsi="Times New Roman"/>
                <w:color w:val="000000" w:themeColor="text1"/>
                <w:szCs w:val="24"/>
              </w:rPr>
              <w:t>1.851.501</w:t>
            </w:r>
          </w:p>
        </w:tc>
        <w:tc>
          <w:tcPr>
            <w:tcW w:w="1411" w:type="dxa"/>
            <w:tcBorders>
              <w:top w:val="single" w:sz="4" w:space="0" w:color="auto"/>
              <w:left w:val="single" w:sz="4" w:space="0" w:color="auto"/>
              <w:bottom w:val="single" w:sz="4" w:space="0" w:color="auto"/>
              <w:right w:val="single" w:sz="4" w:space="0" w:color="auto"/>
            </w:tcBorders>
            <w:shd w:val="solid" w:color="D6E3EE" w:fill="auto"/>
            <w:vAlign w:val="center"/>
          </w:tcPr>
          <w:p w:rsidR="00432133" w:rsidRPr="009131DA" w:rsidRDefault="00432133" w:rsidP="00A85BA0">
            <w:pPr>
              <w:ind w:right="62"/>
              <w:jc w:val="right"/>
              <w:rPr>
                <w:rFonts w:ascii="Times New Roman" w:hAnsi="Times New Roman"/>
                <w:color w:val="000000" w:themeColor="text1"/>
                <w:szCs w:val="24"/>
              </w:rPr>
            </w:pPr>
            <w:r w:rsidRPr="009131DA">
              <w:rPr>
                <w:rFonts w:ascii="Times New Roman" w:hAnsi="Times New Roman"/>
                <w:color w:val="000000" w:themeColor="text1"/>
                <w:szCs w:val="24"/>
              </w:rPr>
              <w:t>803,56</w:t>
            </w:r>
          </w:p>
        </w:tc>
        <w:tc>
          <w:tcPr>
            <w:tcW w:w="1709" w:type="dxa"/>
            <w:tcBorders>
              <w:top w:val="single" w:sz="4" w:space="0" w:color="auto"/>
              <w:left w:val="single" w:sz="4" w:space="0" w:color="auto"/>
              <w:bottom w:val="single" w:sz="4" w:space="0" w:color="auto"/>
              <w:right w:val="nil"/>
            </w:tcBorders>
            <w:shd w:val="solid" w:color="D6E3EE" w:fill="auto"/>
            <w:vAlign w:val="center"/>
          </w:tcPr>
          <w:p w:rsidR="00432133" w:rsidRPr="009131DA" w:rsidRDefault="00432133" w:rsidP="00A85BA0">
            <w:pPr>
              <w:ind w:right="63"/>
              <w:jc w:val="right"/>
              <w:rPr>
                <w:rFonts w:ascii="Times New Roman" w:hAnsi="Times New Roman"/>
                <w:color w:val="000000" w:themeColor="text1"/>
                <w:szCs w:val="24"/>
              </w:rPr>
            </w:pPr>
            <w:r w:rsidRPr="009131DA">
              <w:rPr>
                <w:rFonts w:ascii="Times New Roman" w:hAnsi="Times New Roman"/>
                <w:color w:val="000000" w:themeColor="text1"/>
                <w:szCs w:val="24"/>
              </w:rPr>
              <w:t>60%</w:t>
            </w:r>
          </w:p>
        </w:tc>
      </w:tr>
    </w:tbl>
    <w:p w:rsidR="00DF272C" w:rsidRDefault="00DF272C" w:rsidP="00DF272C">
      <w:pPr>
        <w:spacing w:after="0" w:line="360" w:lineRule="auto"/>
        <w:ind w:right="504"/>
        <w:jc w:val="both"/>
        <w:rPr>
          <w:rFonts w:ascii="Times New Roman" w:hAnsi="Times New Roman"/>
          <w:szCs w:val="24"/>
          <w:lang w:val="id-ID"/>
        </w:rPr>
      </w:pPr>
    </w:p>
    <w:p w:rsidR="00DF272C" w:rsidRDefault="00F10A19" w:rsidP="00DF272C">
      <w:pPr>
        <w:spacing w:after="0" w:line="360" w:lineRule="auto"/>
        <w:ind w:left="720" w:right="504" w:firstLine="720"/>
        <w:jc w:val="both"/>
        <w:rPr>
          <w:rFonts w:ascii="Times New Roman" w:hAnsi="Times New Roman"/>
          <w:szCs w:val="24"/>
          <w:lang w:val="id-ID"/>
        </w:rPr>
      </w:pPr>
      <w:r>
        <w:rPr>
          <w:rFonts w:ascii="Times New Roman" w:hAnsi="Times New Roman"/>
          <w:noProof/>
          <w:szCs w:val="24"/>
        </w:rPr>
        <w:pict>
          <v:line id="_x0000_s1034" style="position:absolute;left:0;text-align:left;z-index:251668480;mso-wrap-distance-left:0;mso-wrap-distance-right:0" from="-66.45pt,555.6pt" to="486.6pt,555.6pt" o:allowincell="f" strokeweight=".5pt">
            <w10:wrap type="square"/>
          </v:line>
        </w:pict>
      </w:r>
      <w:r w:rsidR="00DF272C">
        <w:rPr>
          <w:rFonts w:ascii="Times New Roman" w:hAnsi="Times New Roman"/>
          <w:szCs w:val="24"/>
          <w:lang w:val="id-ID"/>
        </w:rPr>
        <w:t xml:space="preserve">Penjelasan yang sesuai dengan standar akuntansi berkaitan dengan ekuitas adalah sebagai berikut. </w:t>
      </w:r>
      <w:r w:rsidR="00432133" w:rsidRPr="007110F2">
        <w:rPr>
          <w:rFonts w:ascii="Times New Roman" w:hAnsi="Times New Roman"/>
          <w:szCs w:val="24"/>
        </w:rPr>
        <w:t xml:space="preserve">Entitas asosiasi adalah seluruh entitas </w:t>
      </w:r>
      <w:r w:rsidR="00432133" w:rsidRPr="007110F2">
        <w:rPr>
          <w:rFonts w:ascii="Times New Roman" w:hAnsi="Times New Roman"/>
          <w:spacing w:val="19"/>
          <w:szCs w:val="24"/>
        </w:rPr>
        <w:t xml:space="preserve">dimana Grup memiliki pengaruh </w:t>
      </w:r>
      <w:r w:rsidR="00432133" w:rsidRPr="007110F2">
        <w:rPr>
          <w:rFonts w:ascii="Times New Roman" w:hAnsi="Times New Roman"/>
          <w:spacing w:val="1"/>
          <w:szCs w:val="24"/>
        </w:rPr>
        <w:t xml:space="preserve">signifikan namun bukan pengendalian, </w:t>
      </w:r>
      <w:r w:rsidR="00432133" w:rsidRPr="007110F2">
        <w:rPr>
          <w:rFonts w:ascii="Times New Roman" w:hAnsi="Times New Roman"/>
          <w:spacing w:val="13"/>
          <w:szCs w:val="24"/>
        </w:rPr>
        <w:t xml:space="preserve">biasanya melalui kepemilikan hak </w:t>
      </w:r>
      <w:r w:rsidR="00432133" w:rsidRPr="007110F2">
        <w:rPr>
          <w:rFonts w:ascii="Times New Roman" w:hAnsi="Times New Roman"/>
          <w:spacing w:val="3"/>
          <w:szCs w:val="24"/>
        </w:rPr>
        <w:t xml:space="preserve">suara antara 20% dan 50%. Investasi </w:t>
      </w:r>
      <w:r w:rsidR="00432133" w:rsidRPr="007110F2">
        <w:rPr>
          <w:rFonts w:ascii="Times New Roman" w:hAnsi="Times New Roman"/>
          <w:spacing w:val="20"/>
          <w:szCs w:val="24"/>
        </w:rPr>
        <w:t xml:space="preserve">entitas asosiasi dicatat dengan </w:t>
      </w:r>
      <w:r w:rsidR="00432133" w:rsidRPr="007110F2">
        <w:rPr>
          <w:rFonts w:ascii="Times New Roman" w:hAnsi="Times New Roman"/>
          <w:spacing w:val="9"/>
          <w:szCs w:val="24"/>
        </w:rPr>
        <w:t xml:space="preserve">metode ekuitas. Di dalam investasi </w:t>
      </w:r>
      <w:r w:rsidR="00432133" w:rsidRPr="007110F2">
        <w:rPr>
          <w:rFonts w:ascii="Times New Roman" w:hAnsi="Times New Roman"/>
          <w:spacing w:val="6"/>
          <w:szCs w:val="24"/>
        </w:rPr>
        <w:t xml:space="preserve">Grup atas entitas asosiasi termasuk </w:t>
      </w:r>
      <w:r w:rsidR="00432133" w:rsidRPr="007110F2">
        <w:rPr>
          <w:rFonts w:ascii="Times New Roman" w:hAnsi="Times New Roman"/>
          <w:i/>
          <w:iCs/>
          <w:spacing w:val="2"/>
          <w:w w:val="110"/>
          <w:szCs w:val="24"/>
        </w:rPr>
        <w:t xml:space="preserve">goodwill </w:t>
      </w:r>
      <w:r w:rsidR="00432133" w:rsidRPr="007110F2">
        <w:rPr>
          <w:rFonts w:ascii="Times New Roman" w:hAnsi="Times New Roman"/>
          <w:spacing w:val="2"/>
          <w:szCs w:val="24"/>
        </w:rPr>
        <w:t xml:space="preserve">yang diidentifikasikan ketika </w:t>
      </w:r>
      <w:r w:rsidR="00432133" w:rsidRPr="007110F2">
        <w:rPr>
          <w:rFonts w:ascii="Times New Roman" w:hAnsi="Times New Roman"/>
          <w:szCs w:val="24"/>
        </w:rPr>
        <w:t>akuisisi.</w:t>
      </w:r>
      <w:r w:rsidR="00DF272C">
        <w:rPr>
          <w:rFonts w:ascii="Times New Roman" w:hAnsi="Times New Roman"/>
          <w:szCs w:val="24"/>
          <w:lang w:val="id-ID"/>
        </w:rPr>
        <w:t xml:space="preserve"> </w:t>
      </w:r>
      <w:r w:rsidR="00432133" w:rsidRPr="007110F2">
        <w:rPr>
          <w:rFonts w:ascii="Times New Roman" w:hAnsi="Times New Roman"/>
          <w:spacing w:val="9"/>
          <w:szCs w:val="24"/>
        </w:rPr>
        <w:t xml:space="preserve">Jika kepemilikan kepentingan pada </w:t>
      </w:r>
      <w:r w:rsidR="00432133" w:rsidRPr="007110F2">
        <w:rPr>
          <w:rFonts w:ascii="Times New Roman" w:hAnsi="Times New Roman"/>
          <w:spacing w:val="11"/>
          <w:szCs w:val="24"/>
        </w:rPr>
        <w:t xml:space="preserve">entitas asosiasi berkurang, namun </w:t>
      </w:r>
      <w:r w:rsidR="00432133" w:rsidRPr="007110F2">
        <w:rPr>
          <w:rFonts w:ascii="Times New Roman" w:hAnsi="Times New Roman"/>
          <w:spacing w:val="9"/>
          <w:szCs w:val="24"/>
        </w:rPr>
        <w:t xml:space="preserve">tetap memiliki pengaruh signifikan, </w:t>
      </w:r>
      <w:r w:rsidR="00432133" w:rsidRPr="007110F2">
        <w:rPr>
          <w:rFonts w:ascii="Times New Roman" w:hAnsi="Times New Roman"/>
          <w:spacing w:val="2"/>
          <w:szCs w:val="24"/>
        </w:rPr>
        <w:t xml:space="preserve">hanya suatu bagian proporsional atas </w:t>
      </w:r>
      <w:r w:rsidR="00432133" w:rsidRPr="007110F2">
        <w:rPr>
          <w:rFonts w:ascii="Times New Roman" w:hAnsi="Times New Roman"/>
          <w:spacing w:val="4"/>
          <w:szCs w:val="24"/>
        </w:rPr>
        <w:t xml:space="preserve">jumlah yang telah diakui sebelumnya </w:t>
      </w:r>
      <w:r w:rsidR="00432133" w:rsidRPr="007110F2">
        <w:rPr>
          <w:rFonts w:ascii="Times New Roman" w:hAnsi="Times New Roman"/>
          <w:spacing w:val="21"/>
          <w:szCs w:val="24"/>
        </w:rPr>
        <w:t xml:space="preserve">pada pendapatan komprehensif </w:t>
      </w:r>
      <w:r w:rsidR="00432133" w:rsidRPr="007110F2">
        <w:rPr>
          <w:rFonts w:ascii="Times New Roman" w:hAnsi="Times New Roman"/>
          <w:spacing w:val="2"/>
          <w:szCs w:val="24"/>
        </w:rPr>
        <w:t xml:space="preserve">lainnya yang direklasifikasi ke laporan </w:t>
      </w:r>
      <w:r w:rsidR="00432133" w:rsidRPr="007110F2">
        <w:rPr>
          <w:rFonts w:ascii="Times New Roman" w:hAnsi="Times New Roman"/>
          <w:szCs w:val="24"/>
        </w:rPr>
        <w:t>laba rugi.</w:t>
      </w:r>
      <w:r w:rsidR="00DF272C">
        <w:rPr>
          <w:rFonts w:ascii="Times New Roman" w:hAnsi="Times New Roman"/>
          <w:szCs w:val="24"/>
          <w:lang w:val="id-ID"/>
        </w:rPr>
        <w:t xml:space="preserve"> </w:t>
      </w:r>
      <w:r w:rsidR="00432133" w:rsidRPr="007110F2">
        <w:rPr>
          <w:rFonts w:ascii="Times New Roman" w:hAnsi="Times New Roman"/>
          <w:spacing w:val="18"/>
          <w:szCs w:val="24"/>
        </w:rPr>
        <w:t xml:space="preserve">Bagian Grup atas laba atau rugi </w:t>
      </w:r>
      <w:r w:rsidR="00432133" w:rsidRPr="007110F2">
        <w:rPr>
          <w:rFonts w:ascii="Times New Roman" w:hAnsi="Times New Roman"/>
          <w:spacing w:val="4"/>
          <w:szCs w:val="24"/>
        </w:rPr>
        <w:t xml:space="preserve">entitas asosiasi pasca akuisisi diakui </w:t>
      </w:r>
      <w:r w:rsidR="00432133" w:rsidRPr="007110F2">
        <w:rPr>
          <w:rFonts w:ascii="Times New Roman" w:hAnsi="Times New Roman"/>
          <w:spacing w:val="8"/>
          <w:szCs w:val="24"/>
        </w:rPr>
        <w:t xml:space="preserve">dalam laporan laba rugi dan bagian </w:t>
      </w:r>
      <w:r w:rsidR="00432133" w:rsidRPr="007110F2">
        <w:rPr>
          <w:rFonts w:ascii="Times New Roman" w:hAnsi="Times New Roman"/>
          <w:spacing w:val="1"/>
          <w:szCs w:val="24"/>
        </w:rPr>
        <w:t xml:space="preserve">atas mutasi pendapatan komprehensif </w:t>
      </w:r>
      <w:r w:rsidR="00432133" w:rsidRPr="007110F2">
        <w:rPr>
          <w:rFonts w:ascii="Times New Roman" w:hAnsi="Times New Roman"/>
          <w:spacing w:val="2"/>
          <w:szCs w:val="24"/>
        </w:rPr>
        <w:t xml:space="preserve">lainnya pasca akuisisi diakui di dalam </w:t>
      </w:r>
      <w:r w:rsidR="00432133" w:rsidRPr="007110F2">
        <w:rPr>
          <w:rFonts w:ascii="Times New Roman" w:hAnsi="Times New Roman"/>
          <w:spacing w:val="1"/>
          <w:szCs w:val="24"/>
        </w:rPr>
        <w:t xml:space="preserve">pendapatan komprehensif lainnya dan </w:t>
      </w:r>
      <w:r w:rsidR="00432133" w:rsidRPr="007110F2">
        <w:rPr>
          <w:rFonts w:ascii="Times New Roman" w:hAnsi="Times New Roman"/>
          <w:spacing w:val="15"/>
          <w:szCs w:val="24"/>
        </w:rPr>
        <w:t xml:space="preserve">diikuti dengan penyesuaian pada </w:t>
      </w:r>
      <w:r w:rsidR="00432133" w:rsidRPr="007110F2">
        <w:rPr>
          <w:rFonts w:ascii="Times New Roman" w:hAnsi="Times New Roman"/>
          <w:spacing w:val="1"/>
          <w:szCs w:val="24"/>
        </w:rPr>
        <w:lastRenderedPageBreak/>
        <w:t xml:space="preserve">jumlah tercatat investasi. Dividen yang </w:t>
      </w:r>
      <w:proofErr w:type="gramStart"/>
      <w:r w:rsidR="00432133" w:rsidRPr="007110F2">
        <w:rPr>
          <w:rFonts w:ascii="Times New Roman" w:hAnsi="Times New Roman"/>
          <w:spacing w:val="11"/>
          <w:szCs w:val="24"/>
        </w:rPr>
        <w:t>akan</w:t>
      </w:r>
      <w:proofErr w:type="gramEnd"/>
      <w:r w:rsidR="00432133" w:rsidRPr="007110F2">
        <w:rPr>
          <w:rFonts w:ascii="Times New Roman" w:hAnsi="Times New Roman"/>
          <w:spacing w:val="11"/>
          <w:szCs w:val="24"/>
        </w:rPr>
        <w:t xml:space="preserve"> diterima dari entitas asosiasi </w:t>
      </w:r>
      <w:r w:rsidR="00432133" w:rsidRPr="007110F2">
        <w:rPr>
          <w:rFonts w:ascii="Times New Roman" w:hAnsi="Times New Roman"/>
          <w:spacing w:val="15"/>
          <w:szCs w:val="24"/>
        </w:rPr>
        <w:t xml:space="preserve">diakui sebagai pengurang jumlah </w:t>
      </w:r>
      <w:r w:rsidR="00432133" w:rsidRPr="007110F2">
        <w:rPr>
          <w:rFonts w:ascii="Times New Roman" w:hAnsi="Times New Roman"/>
          <w:spacing w:val="8"/>
          <w:szCs w:val="24"/>
        </w:rPr>
        <w:t xml:space="preserve">tercatat investasi. Jika bagian Grup </w:t>
      </w:r>
      <w:r w:rsidR="00432133" w:rsidRPr="007110F2">
        <w:rPr>
          <w:rFonts w:ascii="Times New Roman" w:hAnsi="Times New Roman"/>
          <w:spacing w:val="7"/>
          <w:szCs w:val="24"/>
        </w:rPr>
        <w:t xml:space="preserve">atas kerugian entitas asosiasi </w:t>
      </w:r>
      <w:proofErr w:type="gramStart"/>
      <w:r w:rsidR="00432133" w:rsidRPr="007110F2">
        <w:rPr>
          <w:rFonts w:ascii="Times New Roman" w:hAnsi="Times New Roman"/>
          <w:spacing w:val="7"/>
          <w:szCs w:val="24"/>
        </w:rPr>
        <w:t>sama</w:t>
      </w:r>
      <w:proofErr w:type="gramEnd"/>
      <w:r w:rsidR="00432133" w:rsidRPr="007110F2">
        <w:rPr>
          <w:rFonts w:ascii="Times New Roman" w:hAnsi="Times New Roman"/>
          <w:spacing w:val="7"/>
          <w:szCs w:val="24"/>
        </w:rPr>
        <w:t xml:space="preserve"> </w:t>
      </w:r>
      <w:r w:rsidR="00432133" w:rsidRPr="007110F2">
        <w:rPr>
          <w:rFonts w:ascii="Times New Roman" w:hAnsi="Times New Roman"/>
          <w:spacing w:val="2"/>
          <w:szCs w:val="24"/>
        </w:rPr>
        <w:t xml:space="preserve">dengan atau melebihi kepentingannya </w:t>
      </w:r>
      <w:r w:rsidR="00432133" w:rsidRPr="007110F2">
        <w:rPr>
          <w:rFonts w:ascii="Times New Roman" w:hAnsi="Times New Roman"/>
          <w:spacing w:val="18"/>
          <w:szCs w:val="24"/>
        </w:rPr>
        <w:t xml:space="preserve">pada entitas asosiasi, termasuk </w:t>
      </w:r>
      <w:r w:rsidR="00432133" w:rsidRPr="007110F2">
        <w:rPr>
          <w:rFonts w:ascii="Times New Roman" w:hAnsi="Times New Roman"/>
          <w:spacing w:val="33"/>
          <w:szCs w:val="24"/>
        </w:rPr>
        <w:t xml:space="preserve">piutang tanpa agunan, Grup </w:t>
      </w:r>
      <w:r w:rsidR="00432133" w:rsidRPr="007110F2">
        <w:rPr>
          <w:rFonts w:ascii="Times New Roman" w:hAnsi="Times New Roman"/>
          <w:szCs w:val="24"/>
        </w:rPr>
        <w:t xml:space="preserve">menghentikan pengakuan bagian </w:t>
      </w:r>
      <w:r w:rsidR="00432133" w:rsidRPr="007110F2">
        <w:rPr>
          <w:rFonts w:ascii="Times New Roman" w:hAnsi="Times New Roman"/>
          <w:spacing w:val="9"/>
          <w:szCs w:val="24"/>
        </w:rPr>
        <w:t xml:space="preserve">kerugiannya, kecuali Grup memiliki </w:t>
      </w:r>
      <w:r w:rsidR="00432133" w:rsidRPr="007110F2">
        <w:rPr>
          <w:rFonts w:ascii="Times New Roman" w:hAnsi="Times New Roman"/>
          <w:spacing w:val="41"/>
          <w:szCs w:val="24"/>
        </w:rPr>
        <w:t xml:space="preserve">kewajiban atau melakukan </w:t>
      </w:r>
      <w:r w:rsidR="00432133" w:rsidRPr="007110F2">
        <w:rPr>
          <w:rFonts w:ascii="Times New Roman" w:hAnsi="Times New Roman"/>
          <w:spacing w:val="23"/>
          <w:szCs w:val="24"/>
        </w:rPr>
        <w:t xml:space="preserve">pembayaran atas nama entitas </w:t>
      </w:r>
      <w:r w:rsidR="00432133" w:rsidRPr="007110F2">
        <w:rPr>
          <w:rFonts w:ascii="Times New Roman" w:hAnsi="Times New Roman"/>
          <w:szCs w:val="24"/>
        </w:rPr>
        <w:t>asosiasi.</w:t>
      </w:r>
    </w:p>
    <w:p w:rsidR="00DF272C" w:rsidRDefault="00432133" w:rsidP="00DF272C">
      <w:pPr>
        <w:spacing w:after="0" w:line="360" w:lineRule="auto"/>
        <w:ind w:left="720" w:right="504" w:firstLine="720"/>
        <w:jc w:val="both"/>
        <w:rPr>
          <w:rFonts w:ascii="Times New Roman" w:hAnsi="Times New Roman"/>
          <w:szCs w:val="24"/>
          <w:lang w:val="id-ID"/>
        </w:rPr>
      </w:pPr>
      <w:r w:rsidRPr="007110F2">
        <w:rPr>
          <w:rFonts w:ascii="Times New Roman" w:hAnsi="Times New Roman"/>
          <w:spacing w:val="4"/>
          <w:szCs w:val="24"/>
        </w:rPr>
        <w:t xml:space="preserve">Pada setiap tanggal pelaporan, Grup </w:t>
      </w:r>
      <w:r w:rsidRPr="007110F2">
        <w:rPr>
          <w:rFonts w:ascii="Times New Roman" w:hAnsi="Times New Roman"/>
          <w:spacing w:val="10"/>
          <w:szCs w:val="24"/>
        </w:rPr>
        <w:t xml:space="preserve">menentukan apakah terdapat bukti </w:t>
      </w:r>
      <w:r w:rsidRPr="007110F2">
        <w:rPr>
          <w:rFonts w:ascii="Times New Roman" w:hAnsi="Times New Roman"/>
          <w:spacing w:val="2"/>
          <w:szCs w:val="24"/>
        </w:rPr>
        <w:t xml:space="preserve">objektif bahwa telah terjadi penurunan </w:t>
      </w:r>
      <w:r w:rsidRPr="007110F2">
        <w:rPr>
          <w:rFonts w:ascii="Times New Roman" w:hAnsi="Times New Roman"/>
          <w:spacing w:val="16"/>
          <w:szCs w:val="24"/>
        </w:rPr>
        <w:t xml:space="preserve">nilai pada investasi pada entitas </w:t>
      </w:r>
      <w:r w:rsidRPr="007110F2">
        <w:rPr>
          <w:rFonts w:ascii="Times New Roman" w:hAnsi="Times New Roman"/>
          <w:szCs w:val="24"/>
        </w:rPr>
        <w:t xml:space="preserve">asosiasi. Jika demikian, maka Grup </w:t>
      </w:r>
      <w:r w:rsidRPr="007110F2">
        <w:rPr>
          <w:rFonts w:ascii="Times New Roman" w:hAnsi="Times New Roman"/>
          <w:spacing w:val="2"/>
          <w:szCs w:val="24"/>
        </w:rPr>
        <w:t xml:space="preserve">menghitung besarnya penurunan nilai </w:t>
      </w:r>
      <w:r w:rsidRPr="007110F2">
        <w:rPr>
          <w:rFonts w:ascii="Times New Roman" w:hAnsi="Times New Roman"/>
          <w:spacing w:val="10"/>
          <w:szCs w:val="24"/>
        </w:rPr>
        <w:t xml:space="preserve">sebagai selisih antara jumlah yang </w:t>
      </w:r>
      <w:r w:rsidRPr="007110F2">
        <w:rPr>
          <w:rFonts w:ascii="Times New Roman" w:hAnsi="Times New Roman"/>
          <w:spacing w:val="12"/>
          <w:szCs w:val="24"/>
        </w:rPr>
        <w:t xml:space="preserve">terpulihkan dan nilai tercatat atas </w:t>
      </w:r>
      <w:r w:rsidRPr="007110F2">
        <w:rPr>
          <w:rFonts w:ascii="Times New Roman" w:hAnsi="Times New Roman"/>
          <w:spacing w:val="8"/>
          <w:szCs w:val="24"/>
        </w:rPr>
        <w:t xml:space="preserve">investasi pada perusahaan asosiasi dan mengakui selisih tersebut pada </w:t>
      </w:r>
      <w:r w:rsidRPr="007110F2">
        <w:rPr>
          <w:rFonts w:ascii="Times New Roman" w:hAnsi="Times New Roman"/>
          <w:spacing w:val="17"/>
          <w:szCs w:val="24"/>
        </w:rPr>
        <w:t xml:space="preserve">“bagian atas hasil bersih entitas </w:t>
      </w:r>
      <w:r w:rsidRPr="007110F2">
        <w:rPr>
          <w:rFonts w:ascii="Times New Roman" w:hAnsi="Times New Roman"/>
          <w:spacing w:val="2"/>
          <w:szCs w:val="24"/>
        </w:rPr>
        <w:t>asosiasi” di laporan laba rugi.</w:t>
      </w:r>
      <w:r w:rsidR="00DF272C">
        <w:rPr>
          <w:rFonts w:ascii="Times New Roman" w:hAnsi="Times New Roman"/>
          <w:szCs w:val="24"/>
          <w:lang w:val="id-ID"/>
        </w:rPr>
        <w:t xml:space="preserve"> </w:t>
      </w:r>
      <w:r w:rsidRPr="007110F2">
        <w:rPr>
          <w:rFonts w:ascii="Times New Roman" w:hAnsi="Times New Roman"/>
          <w:spacing w:val="3"/>
          <w:szCs w:val="24"/>
        </w:rPr>
        <w:t xml:space="preserve">Kebijakan akuntansi entitas asosiasi </w:t>
      </w:r>
      <w:r w:rsidRPr="007110F2">
        <w:rPr>
          <w:rFonts w:ascii="Times New Roman" w:hAnsi="Times New Roman"/>
          <w:spacing w:val="11"/>
          <w:szCs w:val="24"/>
        </w:rPr>
        <w:t xml:space="preserve">disesuaikan jika diperlukan untuk </w:t>
      </w:r>
      <w:r w:rsidRPr="007110F2">
        <w:rPr>
          <w:rFonts w:ascii="Times New Roman" w:hAnsi="Times New Roman"/>
          <w:spacing w:val="16"/>
          <w:szCs w:val="24"/>
        </w:rPr>
        <w:t xml:space="preserve">memastikan konsistensi dengan </w:t>
      </w:r>
      <w:r w:rsidRPr="007110F2">
        <w:rPr>
          <w:rFonts w:ascii="Times New Roman" w:hAnsi="Times New Roman"/>
          <w:spacing w:val="2"/>
          <w:szCs w:val="24"/>
        </w:rPr>
        <w:t>kebijakan yang diterapkan oleh Grup.</w:t>
      </w:r>
      <w:r w:rsidR="00DF272C">
        <w:rPr>
          <w:rFonts w:ascii="Times New Roman" w:hAnsi="Times New Roman"/>
          <w:szCs w:val="24"/>
          <w:lang w:val="id-ID"/>
        </w:rPr>
        <w:t xml:space="preserve"> </w:t>
      </w:r>
    </w:p>
    <w:p w:rsidR="00DF272C" w:rsidRDefault="00432133" w:rsidP="00DF272C">
      <w:pPr>
        <w:spacing w:after="0" w:line="360" w:lineRule="auto"/>
        <w:ind w:left="720" w:right="504" w:firstLine="720"/>
        <w:jc w:val="both"/>
        <w:rPr>
          <w:rFonts w:ascii="Times New Roman" w:hAnsi="Times New Roman"/>
          <w:spacing w:val="2"/>
          <w:szCs w:val="24"/>
          <w:lang w:val="id-ID"/>
        </w:rPr>
      </w:pPr>
      <w:r w:rsidRPr="007110F2">
        <w:rPr>
          <w:rFonts w:ascii="Times New Roman" w:hAnsi="Times New Roman"/>
          <w:spacing w:val="2"/>
          <w:szCs w:val="24"/>
        </w:rPr>
        <w:t xml:space="preserve">Kerugian yang belum direalisasi juga dieliminasi kecuali transaksi tersebut </w:t>
      </w:r>
      <w:r w:rsidRPr="007110F2">
        <w:rPr>
          <w:rFonts w:ascii="Times New Roman" w:hAnsi="Times New Roman"/>
          <w:spacing w:val="10"/>
          <w:szCs w:val="24"/>
        </w:rPr>
        <w:t xml:space="preserve">memberikan bukti penurunan nilai </w:t>
      </w:r>
      <w:r w:rsidRPr="007110F2">
        <w:rPr>
          <w:rFonts w:ascii="Times New Roman" w:hAnsi="Times New Roman"/>
          <w:spacing w:val="4"/>
          <w:szCs w:val="24"/>
        </w:rPr>
        <w:t xml:space="preserve">atas aset yang ditransfer. Kebijakan </w:t>
      </w:r>
      <w:r w:rsidRPr="007110F2">
        <w:rPr>
          <w:rFonts w:ascii="Times New Roman" w:hAnsi="Times New Roman"/>
          <w:spacing w:val="1"/>
          <w:szCs w:val="24"/>
        </w:rPr>
        <w:t xml:space="preserve">akuntansi entitas asosiasi disesuaikan </w:t>
      </w:r>
      <w:r w:rsidRPr="007110F2">
        <w:rPr>
          <w:rFonts w:ascii="Times New Roman" w:hAnsi="Times New Roman"/>
          <w:spacing w:val="11"/>
          <w:szCs w:val="24"/>
        </w:rPr>
        <w:t xml:space="preserve">jika diperlukan untuk memastikan </w:t>
      </w:r>
      <w:r w:rsidRPr="007110F2">
        <w:rPr>
          <w:rFonts w:ascii="Times New Roman" w:hAnsi="Times New Roman"/>
          <w:szCs w:val="24"/>
        </w:rPr>
        <w:t xml:space="preserve">konsistensi dengan kebijakan yang </w:t>
      </w:r>
      <w:r w:rsidRPr="007110F2">
        <w:rPr>
          <w:rFonts w:ascii="Times New Roman" w:hAnsi="Times New Roman"/>
          <w:spacing w:val="2"/>
          <w:szCs w:val="24"/>
        </w:rPr>
        <w:t>diterapkan oleh Grup.</w:t>
      </w:r>
      <w:r w:rsidR="00DF272C">
        <w:rPr>
          <w:rFonts w:ascii="Times New Roman" w:hAnsi="Times New Roman"/>
          <w:szCs w:val="24"/>
          <w:lang w:val="id-ID"/>
        </w:rPr>
        <w:t xml:space="preserve"> </w:t>
      </w:r>
      <w:r w:rsidRPr="007110F2">
        <w:rPr>
          <w:rFonts w:ascii="Times New Roman" w:hAnsi="Times New Roman"/>
          <w:spacing w:val="6"/>
          <w:szCs w:val="24"/>
        </w:rPr>
        <w:t xml:space="preserve">Laba atau rugi yang dihasilkan dari transaksi hulu dan hilir antara Grup </w:t>
      </w:r>
      <w:r w:rsidRPr="007110F2">
        <w:rPr>
          <w:rFonts w:ascii="Times New Roman" w:hAnsi="Times New Roman"/>
          <w:spacing w:val="2"/>
          <w:szCs w:val="24"/>
        </w:rPr>
        <w:t xml:space="preserve">dengan entitas asosiasi diakui dalam </w:t>
      </w:r>
      <w:r w:rsidRPr="007110F2">
        <w:rPr>
          <w:rFonts w:ascii="Times New Roman" w:hAnsi="Times New Roman"/>
          <w:spacing w:val="22"/>
          <w:szCs w:val="24"/>
        </w:rPr>
        <w:t xml:space="preserve">laporan keuangan Grup hanya </w:t>
      </w:r>
      <w:r w:rsidRPr="007110F2">
        <w:rPr>
          <w:rFonts w:ascii="Times New Roman" w:hAnsi="Times New Roman"/>
          <w:spacing w:val="7"/>
          <w:szCs w:val="24"/>
        </w:rPr>
        <w:t xml:space="preserve">sebesar bagian investor lain dalam </w:t>
      </w:r>
      <w:r w:rsidRPr="007110F2">
        <w:rPr>
          <w:rFonts w:ascii="Times New Roman" w:hAnsi="Times New Roman"/>
          <w:szCs w:val="24"/>
        </w:rPr>
        <w:t>entitas asosiasi</w:t>
      </w:r>
      <w:r w:rsidRPr="007110F2">
        <w:rPr>
          <w:rFonts w:ascii="Times New Roman" w:hAnsi="Times New Roman"/>
          <w:i/>
          <w:iCs/>
          <w:w w:val="110"/>
          <w:szCs w:val="24"/>
        </w:rPr>
        <w:t>.</w:t>
      </w:r>
      <w:r w:rsidR="00DF272C">
        <w:rPr>
          <w:rFonts w:ascii="Times New Roman" w:hAnsi="Times New Roman"/>
          <w:szCs w:val="24"/>
          <w:lang w:val="id-ID"/>
        </w:rPr>
        <w:t xml:space="preserve"> </w:t>
      </w:r>
      <w:r w:rsidRPr="007110F2">
        <w:rPr>
          <w:rFonts w:ascii="Times New Roman" w:hAnsi="Times New Roman"/>
          <w:spacing w:val="2"/>
          <w:szCs w:val="24"/>
        </w:rPr>
        <w:t xml:space="preserve">Keuntungan dan kerugian dilusi yang </w:t>
      </w:r>
      <w:r w:rsidRPr="007110F2">
        <w:rPr>
          <w:rFonts w:ascii="Times New Roman" w:hAnsi="Times New Roman"/>
          <w:spacing w:val="1"/>
          <w:szCs w:val="24"/>
        </w:rPr>
        <w:t xml:space="preserve">timbul pada investasi entitas asosiasi </w:t>
      </w:r>
      <w:r w:rsidRPr="007110F2">
        <w:rPr>
          <w:rFonts w:ascii="Times New Roman" w:hAnsi="Times New Roman"/>
          <w:spacing w:val="2"/>
          <w:szCs w:val="24"/>
        </w:rPr>
        <w:t>diakui dalam laporan laba rugi.</w:t>
      </w:r>
    </w:p>
    <w:p w:rsidR="00DF272C" w:rsidRDefault="00DF272C" w:rsidP="00DF272C">
      <w:pPr>
        <w:spacing w:after="0" w:line="360" w:lineRule="auto"/>
        <w:ind w:left="720" w:right="504" w:firstLine="720"/>
        <w:jc w:val="both"/>
        <w:rPr>
          <w:rFonts w:ascii="Times New Roman" w:hAnsi="Times New Roman"/>
          <w:spacing w:val="2"/>
          <w:szCs w:val="24"/>
          <w:lang w:val="id-ID"/>
        </w:rPr>
      </w:pPr>
      <w:r>
        <w:rPr>
          <w:rFonts w:ascii="Times New Roman" w:hAnsi="Times New Roman"/>
          <w:b/>
          <w:bCs/>
          <w:w w:val="105"/>
          <w:szCs w:val="24"/>
          <w:lang w:val="id-ID"/>
        </w:rPr>
        <w:t xml:space="preserve">Penjelasan yang berkaitan dengan </w:t>
      </w:r>
      <w:r w:rsidR="00432133" w:rsidRPr="007110F2">
        <w:rPr>
          <w:rFonts w:ascii="Times New Roman" w:hAnsi="Times New Roman"/>
          <w:b/>
          <w:bCs/>
          <w:w w:val="105"/>
          <w:szCs w:val="24"/>
        </w:rPr>
        <w:t xml:space="preserve">Laba bersih per saham </w:t>
      </w:r>
      <w:r>
        <w:rPr>
          <w:rFonts w:ascii="Times New Roman" w:hAnsi="Times New Roman"/>
          <w:b/>
          <w:bCs/>
          <w:w w:val="105"/>
          <w:szCs w:val="24"/>
          <w:lang w:val="id-ID"/>
        </w:rPr>
        <w:t>dan dividen</w:t>
      </w:r>
      <w:r w:rsidR="00432133" w:rsidRPr="007110F2">
        <w:rPr>
          <w:rFonts w:ascii="Times New Roman" w:hAnsi="Times New Roman"/>
          <w:spacing w:val="11"/>
          <w:szCs w:val="24"/>
        </w:rPr>
        <w:t xml:space="preserve"> </w:t>
      </w:r>
      <w:r>
        <w:rPr>
          <w:rFonts w:ascii="Times New Roman" w:hAnsi="Times New Roman"/>
          <w:spacing w:val="11"/>
          <w:szCs w:val="24"/>
          <w:lang w:val="id-ID"/>
        </w:rPr>
        <w:t xml:space="preserve">sesuai dengan standar akuntansi adalah sebagai berikut. </w:t>
      </w:r>
      <w:r w:rsidR="00432133" w:rsidRPr="007110F2">
        <w:rPr>
          <w:rFonts w:ascii="Times New Roman" w:hAnsi="Times New Roman"/>
          <w:spacing w:val="11"/>
          <w:szCs w:val="24"/>
        </w:rPr>
        <w:t xml:space="preserve">Laba bersih per saham dihitung dengan membagi laba bersih yang tersedia bagi </w:t>
      </w:r>
      <w:r w:rsidR="00432133" w:rsidRPr="007110F2">
        <w:rPr>
          <w:rFonts w:ascii="Times New Roman" w:hAnsi="Times New Roman"/>
          <w:spacing w:val="9"/>
          <w:szCs w:val="24"/>
        </w:rPr>
        <w:t xml:space="preserve">pemegang saham Grup dengan rata-rata </w:t>
      </w:r>
      <w:r w:rsidR="00432133" w:rsidRPr="007110F2">
        <w:rPr>
          <w:rFonts w:ascii="Times New Roman" w:hAnsi="Times New Roman"/>
          <w:spacing w:val="1"/>
          <w:szCs w:val="24"/>
        </w:rPr>
        <w:t xml:space="preserve">tertimbang jumlah saham biasa yang beredar </w:t>
      </w:r>
      <w:r w:rsidR="00432133" w:rsidRPr="007110F2">
        <w:rPr>
          <w:rFonts w:ascii="Times New Roman" w:hAnsi="Times New Roman"/>
          <w:szCs w:val="24"/>
        </w:rPr>
        <w:t>pada tahun yang bersangkutan.</w:t>
      </w:r>
      <w:r>
        <w:rPr>
          <w:rFonts w:ascii="Times New Roman" w:hAnsi="Times New Roman"/>
          <w:spacing w:val="2"/>
          <w:szCs w:val="24"/>
          <w:lang w:val="id-ID"/>
        </w:rPr>
        <w:t xml:space="preserve"> </w:t>
      </w:r>
    </w:p>
    <w:p w:rsidR="00DF272C" w:rsidRDefault="00432133" w:rsidP="00DF272C">
      <w:pPr>
        <w:spacing w:after="0" w:line="360" w:lineRule="auto"/>
        <w:ind w:left="720" w:right="504" w:firstLine="720"/>
        <w:jc w:val="both"/>
        <w:rPr>
          <w:rFonts w:ascii="Times New Roman" w:hAnsi="Times New Roman"/>
          <w:lang w:val="id-ID"/>
        </w:rPr>
      </w:pPr>
      <w:r w:rsidRPr="007110F2">
        <w:rPr>
          <w:rFonts w:ascii="Times New Roman" w:hAnsi="Times New Roman"/>
          <w:b/>
          <w:bCs/>
          <w:spacing w:val="10"/>
          <w:w w:val="105"/>
          <w:szCs w:val="24"/>
        </w:rPr>
        <w:lastRenderedPageBreak/>
        <w:t>Dividen</w:t>
      </w:r>
      <w:r w:rsidRPr="007110F2">
        <w:rPr>
          <w:rFonts w:ascii="Times New Roman" w:hAnsi="Times New Roman"/>
          <w:szCs w:val="24"/>
        </w:rPr>
        <w:t xml:space="preserve"> Pembagian dividen kepada pemegang saham</w:t>
      </w:r>
      <w:r w:rsidRPr="007110F2">
        <w:rPr>
          <w:rFonts w:ascii="Times New Roman" w:hAnsi="Times New Roman"/>
          <w:spacing w:val="4"/>
          <w:szCs w:val="24"/>
        </w:rPr>
        <w:t xml:space="preserve"> Grup diakui sebagai liabilitas dalam laporan</w:t>
      </w:r>
      <w:r w:rsidRPr="007110F2">
        <w:rPr>
          <w:rFonts w:ascii="Times New Roman" w:hAnsi="Times New Roman"/>
          <w:spacing w:val="2"/>
          <w:szCs w:val="24"/>
        </w:rPr>
        <w:t xml:space="preserve"> keuangan konsolidasian Grup dalam periode</w:t>
      </w:r>
      <w:r w:rsidRPr="007110F2">
        <w:rPr>
          <w:rFonts w:ascii="Times New Roman" w:hAnsi="Times New Roman"/>
          <w:spacing w:val="-1"/>
          <w:szCs w:val="24"/>
        </w:rPr>
        <w:t xml:space="preserve"> dimana pembagian dividen diumumkan.</w:t>
      </w:r>
      <w:r w:rsidR="00DF272C">
        <w:rPr>
          <w:rFonts w:ascii="Times New Roman" w:hAnsi="Times New Roman"/>
          <w:spacing w:val="-1"/>
          <w:szCs w:val="24"/>
          <w:lang w:val="id-ID"/>
        </w:rPr>
        <w:t xml:space="preserve"> </w:t>
      </w:r>
      <w:r w:rsidR="008B2404" w:rsidRPr="00DF272C">
        <w:rPr>
          <w:rFonts w:ascii="Times New Roman" w:hAnsi="Times New Roman"/>
          <w:lang w:val="sv-SE"/>
        </w:rPr>
        <w:t xml:space="preserve">Holder et al (1998) melakukan penelitian mengenai pengembangan teori </w:t>
      </w:r>
      <w:r w:rsidR="008B2404" w:rsidRPr="00DF272C">
        <w:rPr>
          <w:rFonts w:ascii="Times New Roman" w:hAnsi="Times New Roman"/>
          <w:i/>
          <w:iCs/>
          <w:lang w:val="sv-SE"/>
        </w:rPr>
        <w:t xml:space="preserve">stakeholder </w:t>
      </w:r>
      <w:r w:rsidR="008B2404" w:rsidRPr="00DF272C">
        <w:rPr>
          <w:rFonts w:ascii="Times New Roman" w:hAnsi="Times New Roman"/>
          <w:lang w:val="sv-SE"/>
        </w:rPr>
        <w:t xml:space="preserve">dalam proses kebijakan dividen. Faktor teori </w:t>
      </w:r>
      <w:r w:rsidR="008B2404" w:rsidRPr="00DF272C">
        <w:rPr>
          <w:rFonts w:ascii="Times New Roman" w:hAnsi="Times New Roman"/>
          <w:i/>
          <w:iCs/>
          <w:lang w:val="sv-SE"/>
        </w:rPr>
        <w:t>stakeholder</w:t>
      </w:r>
      <w:r w:rsidR="008B2404" w:rsidRPr="00DF272C">
        <w:rPr>
          <w:rFonts w:ascii="Times New Roman" w:hAnsi="Times New Roman"/>
          <w:lang w:val="sv-SE"/>
        </w:rPr>
        <w:t xml:space="preserve"> dikelompokkan kedalam </w:t>
      </w:r>
      <w:r w:rsidR="008B2404" w:rsidRPr="00DF272C">
        <w:rPr>
          <w:rFonts w:ascii="Times New Roman" w:hAnsi="Times New Roman"/>
          <w:i/>
          <w:iCs/>
          <w:lang w:val="sv-SE"/>
        </w:rPr>
        <w:t xml:space="preserve">net organization capital </w:t>
      </w:r>
      <w:r w:rsidR="008B2404" w:rsidRPr="00DF272C">
        <w:rPr>
          <w:rFonts w:ascii="Times New Roman" w:hAnsi="Times New Roman"/>
          <w:lang w:val="sv-SE"/>
        </w:rPr>
        <w:t xml:space="preserve">pengaruh ukuran, biaya-biaya agensi, dan biaya transaksi. Perusahaan-perusahaan yang didanai </w:t>
      </w:r>
      <w:r w:rsidR="008B2404" w:rsidRPr="00DF272C">
        <w:rPr>
          <w:rFonts w:ascii="Times New Roman" w:hAnsi="Times New Roman"/>
          <w:i/>
          <w:iCs/>
          <w:lang w:val="sv-SE"/>
        </w:rPr>
        <w:t xml:space="preserve">Net Organization Capital </w:t>
      </w:r>
      <w:r w:rsidR="008B2404" w:rsidRPr="00DF272C">
        <w:rPr>
          <w:rFonts w:ascii="Times New Roman" w:hAnsi="Times New Roman"/>
          <w:lang w:val="sv-SE"/>
        </w:rPr>
        <w:t xml:space="preserve">1ebih banyak mempergunakan ekuitas, dan mempertahankan tingkat likuiditas yang lebih tinggi untuk mencegah timbulnya biaya-biaya kekurangan finansial. Untuk meningkatkan likuiditas perusahaan perlu menurunkan rasio pembayaran dividen. </w:t>
      </w:r>
    </w:p>
    <w:p w:rsidR="00DF272C" w:rsidRDefault="00DF272C" w:rsidP="00DF272C">
      <w:pPr>
        <w:spacing w:after="0" w:line="360" w:lineRule="auto"/>
        <w:ind w:left="720" w:right="504" w:firstLine="720"/>
        <w:jc w:val="both"/>
        <w:rPr>
          <w:rFonts w:ascii="Times New Roman" w:hAnsi="Times New Roman"/>
          <w:spacing w:val="2"/>
          <w:szCs w:val="24"/>
          <w:lang w:val="id-ID"/>
        </w:rPr>
      </w:pPr>
      <w:r>
        <w:rPr>
          <w:rFonts w:ascii="Times New Roman" w:hAnsi="Times New Roman"/>
          <w:b/>
          <w:bCs/>
          <w:spacing w:val="10"/>
          <w:w w:val="105"/>
          <w:szCs w:val="24"/>
          <w:lang w:val="id-ID"/>
        </w:rPr>
        <w:t xml:space="preserve">Secara teori pembagian dividen dan monitoring dinyatakan oleh </w:t>
      </w:r>
      <w:r w:rsidR="008B2404" w:rsidRPr="00DF272C">
        <w:rPr>
          <w:rFonts w:ascii="Times New Roman" w:hAnsi="Times New Roman"/>
          <w:lang w:val="sv-SE"/>
        </w:rPr>
        <w:t xml:space="preserve">Rozeff (1982) bahwa pembayaran dividen adalah bagian dari monitoring.  Perusahaan cenderung untuk membayar dividen yang tinggi jika manajer memiliki proporsi saham yang lebih rendah. Rozeff (1982) dan  Easterbrook (1984) menyatakan bahwa pembayaran dividen pada pemegang saham akan mengurangi sumber-sumber dana yang dikendalikan oleh manajer, sehingga mengurangi kekuasaan manajer dan membuat pembayaran dividen mirip dengan monitoring </w:t>
      </w:r>
      <w:r w:rsidR="008B2404" w:rsidRPr="00DF272C">
        <w:rPr>
          <w:rFonts w:ascii="Times New Roman" w:hAnsi="Times New Roman"/>
          <w:i/>
          <w:iCs/>
          <w:lang w:val="sv-SE"/>
        </w:rPr>
        <w:t>capital market</w:t>
      </w:r>
      <w:r w:rsidR="008B2404" w:rsidRPr="00DF272C">
        <w:rPr>
          <w:rFonts w:ascii="Times New Roman" w:hAnsi="Times New Roman"/>
          <w:lang w:val="sv-SE"/>
        </w:rPr>
        <w:t xml:space="preserve"> yang terjadi jika perusahaan memperoleh modal baru. Jensen et al (1992) menguji pengaruh </w:t>
      </w:r>
      <w:r w:rsidR="008B2404" w:rsidRPr="00DF272C">
        <w:rPr>
          <w:rFonts w:ascii="Times New Roman" w:hAnsi="Times New Roman"/>
          <w:i/>
          <w:iCs/>
          <w:lang w:val="sv-SE"/>
        </w:rPr>
        <w:t>insider ownership</w:t>
      </w:r>
      <w:r w:rsidR="008B2404" w:rsidRPr="00DF272C">
        <w:rPr>
          <w:rFonts w:ascii="Times New Roman" w:hAnsi="Times New Roman"/>
          <w:lang w:val="sv-SE"/>
        </w:rPr>
        <w:t xml:space="preserve"> dan kebijakan dividen terhadap kebijakan hutang (</w:t>
      </w:r>
      <w:r w:rsidR="008B2404" w:rsidRPr="00DF272C">
        <w:rPr>
          <w:rFonts w:ascii="Times New Roman" w:hAnsi="Times New Roman"/>
          <w:i/>
          <w:iCs/>
          <w:lang w:val="sv-SE"/>
        </w:rPr>
        <w:t>debt ratio</w:t>
      </w:r>
      <w:r w:rsidR="008B2404" w:rsidRPr="00DF272C">
        <w:rPr>
          <w:rFonts w:ascii="Times New Roman" w:hAnsi="Times New Roman"/>
          <w:lang w:val="sv-SE"/>
        </w:rPr>
        <w:t xml:space="preserve">), hasil lainnya bahwa </w:t>
      </w:r>
      <w:r w:rsidR="008B2404" w:rsidRPr="00DF272C">
        <w:rPr>
          <w:rFonts w:ascii="Times New Roman" w:hAnsi="Times New Roman"/>
          <w:i/>
          <w:iCs/>
          <w:lang w:val="sv-SE"/>
        </w:rPr>
        <w:t>insider ownership</w:t>
      </w:r>
      <w:r w:rsidR="008B2404" w:rsidRPr="00DF272C">
        <w:rPr>
          <w:rFonts w:ascii="Times New Roman" w:hAnsi="Times New Roman"/>
          <w:lang w:val="sv-SE"/>
        </w:rPr>
        <w:t xml:space="preserve"> akan menyebabkan penurunan rasio pembayaran dividen. Hasil penelitian Chen dan Steiner (1999) menyebutkan bahwa </w:t>
      </w:r>
      <w:r w:rsidR="008B2404" w:rsidRPr="00DF272C">
        <w:rPr>
          <w:rFonts w:ascii="Times New Roman" w:hAnsi="Times New Roman"/>
          <w:i/>
          <w:iCs/>
          <w:lang w:val="sv-SE"/>
        </w:rPr>
        <w:t>managerial ownership</w:t>
      </w:r>
      <w:r w:rsidR="008B2404" w:rsidRPr="00DF272C">
        <w:rPr>
          <w:rFonts w:ascii="Times New Roman" w:hAnsi="Times New Roman"/>
          <w:lang w:val="sv-SE"/>
        </w:rPr>
        <w:t xml:space="preserve"> memiliki hubungan yang negatif dengan </w:t>
      </w:r>
      <w:r w:rsidR="008B2404" w:rsidRPr="00DF272C">
        <w:rPr>
          <w:rFonts w:ascii="Times New Roman" w:hAnsi="Times New Roman"/>
          <w:i/>
          <w:iCs/>
          <w:lang w:val="sv-SE"/>
        </w:rPr>
        <w:t>debt</w:t>
      </w:r>
      <w:r w:rsidR="008B2404" w:rsidRPr="00DF272C">
        <w:rPr>
          <w:rFonts w:ascii="Times New Roman" w:hAnsi="Times New Roman"/>
          <w:lang w:val="sv-SE"/>
        </w:rPr>
        <w:t xml:space="preserve"> dan dividen. </w:t>
      </w:r>
    </w:p>
    <w:p w:rsidR="007F08FA" w:rsidRDefault="008B2404" w:rsidP="007F08FA">
      <w:pPr>
        <w:spacing w:after="0" w:line="360" w:lineRule="auto"/>
        <w:ind w:left="720" w:right="504" w:firstLine="720"/>
        <w:jc w:val="both"/>
        <w:rPr>
          <w:rFonts w:ascii="Times New Roman" w:hAnsi="Times New Roman"/>
          <w:lang w:val="id-ID"/>
        </w:rPr>
      </w:pPr>
      <w:r w:rsidRPr="00DF272C">
        <w:rPr>
          <w:rFonts w:ascii="Times New Roman" w:hAnsi="Times New Roman"/>
        </w:rPr>
        <w:t>Kebijakan dividen ini</w:t>
      </w:r>
      <w:r w:rsidR="00DF272C">
        <w:rPr>
          <w:rFonts w:ascii="Times New Roman" w:hAnsi="Times New Roman"/>
          <w:lang w:val="id-ID"/>
        </w:rPr>
        <w:t xml:space="preserve"> bagi PT Bukit Asam</w:t>
      </w:r>
      <w:r w:rsidRPr="00DF272C">
        <w:rPr>
          <w:rFonts w:ascii="Times New Roman" w:hAnsi="Times New Roman"/>
        </w:rPr>
        <w:t xml:space="preserve"> merupakan </w:t>
      </w:r>
      <w:r w:rsidRPr="00DF272C">
        <w:rPr>
          <w:rFonts w:ascii="Times New Roman" w:hAnsi="Times New Roman"/>
          <w:i/>
        </w:rPr>
        <w:t>corporate action</w:t>
      </w:r>
      <w:r w:rsidRPr="00DF272C">
        <w:rPr>
          <w:rFonts w:ascii="Times New Roman" w:hAnsi="Times New Roman"/>
        </w:rPr>
        <w:t xml:space="preserve"> yang penting yang harus dilakukan perusahaan kebijakan tersebut dapat menentukan berapa banyak keuntungan yang </w:t>
      </w:r>
      <w:proofErr w:type="gramStart"/>
      <w:r w:rsidRPr="00DF272C">
        <w:rPr>
          <w:rFonts w:ascii="Times New Roman" w:hAnsi="Times New Roman"/>
        </w:rPr>
        <w:t>akan</w:t>
      </w:r>
      <w:proofErr w:type="gramEnd"/>
      <w:r w:rsidRPr="00DF272C">
        <w:rPr>
          <w:rFonts w:ascii="Times New Roman" w:hAnsi="Times New Roman"/>
        </w:rPr>
        <w:t xml:space="preserve"> diperoleh pemegang saham. Keuntungan yang </w:t>
      </w:r>
      <w:proofErr w:type="gramStart"/>
      <w:r w:rsidRPr="00DF272C">
        <w:rPr>
          <w:rFonts w:ascii="Times New Roman" w:hAnsi="Times New Roman"/>
        </w:rPr>
        <w:t>akan</w:t>
      </w:r>
      <w:proofErr w:type="gramEnd"/>
      <w:r w:rsidRPr="00DF272C">
        <w:rPr>
          <w:rFonts w:ascii="Times New Roman" w:hAnsi="Times New Roman"/>
        </w:rPr>
        <w:t xml:space="preserve"> diperoleh pemegang saham ini akan menentukan kesejahteraan para pemegang saham yang merupakan tujuan utama perusahaan. Semakin besar dividen yang dibagikan kepada </w:t>
      </w:r>
      <w:r w:rsidRPr="00DF272C">
        <w:rPr>
          <w:rFonts w:ascii="Times New Roman" w:hAnsi="Times New Roman"/>
        </w:rPr>
        <w:lastRenderedPageBreak/>
        <w:t xml:space="preserve">pemegang saham, maka kinerja emiten atau perusahaan akan dianggap semakin baik pula dan pada akhirnya perusahaan yang memiliki kinerja yang baik dianggap menguntungkan dan tentunya penilaian terhadap </w:t>
      </w:r>
      <w:proofErr w:type="gramStart"/>
      <w:r w:rsidRPr="00DF272C">
        <w:rPr>
          <w:rFonts w:ascii="Times New Roman" w:hAnsi="Times New Roman"/>
        </w:rPr>
        <w:t>perusahaan  tersebut</w:t>
      </w:r>
      <w:proofErr w:type="gramEnd"/>
      <w:r w:rsidRPr="00DF272C">
        <w:rPr>
          <w:rFonts w:ascii="Times New Roman" w:hAnsi="Times New Roman"/>
        </w:rPr>
        <w:t xml:space="preserve"> akan semakin baik pula, yang biasanya tercermin melalui </w:t>
      </w:r>
      <w:r w:rsidR="007F08FA">
        <w:rPr>
          <w:rFonts w:ascii="Times New Roman" w:hAnsi="Times New Roman"/>
        </w:rPr>
        <w:t>tingkat harga saham perusahaan.</w:t>
      </w:r>
      <w:r w:rsidR="007F08FA">
        <w:rPr>
          <w:rFonts w:ascii="Times New Roman" w:hAnsi="Times New Roman"/>
          <w:lang w:val="id-ID"/>
        </w:rPr>
        <w:t xml:space="preserve"> </w:t>
      </w:r>
    </w:p>
    <w:p w:rsidR="00432133" w:rsidRDefault="00DF272C" w:rsidP="007F08FA">
      <w:pPr>
        <w:spacing w:after="0" w:line="360" w:lineRule="auto"/>
        <w:ind w:left="720" w:right="504" w:firstLine="720"/>
        <w:jc w:val="both"/>
        <w:rPr>
          <w:rFonts w:ascii="Times New Roman" w:hAnsi="Times New Roman"/>
          <w:lang w:val="id-ID" w:eastAsia="zh-CN"/>
        </w:rPr>
      </w:pPr>
      <w:r>
        <w:rPr>
          <w:rFonts w:ascii="Times New Roman" w:hAnsi="Times New Roman"/>
          <w:lang w:val="id-ID"/>
        </w:rPr>
        <w:t>Kebijakan dividen yang dilakukan oleh PT Bukit Asam ini</w:t>
      </w:r>
      <w:r w:rsidR="008B2404" w:rsidRPr="00DF272C">
        <w:rPr>
          <w:rFonts w:ascii="Times New Roman" w:hAnsi="Times New Roman"/>
        </w:rPr>
        <w:t xml:space="preserve"> sejalan dengan </w:t>
      </w:r>
      <w:r>
        <w:rPr>
          <w:rFonts w:ascii="Times New Roman" w:hAnsi="Times New Roman"/>
          <w:lang w:val="id-ID"/>
        </w:rPr>
        <w:t xml:space="preserve">hasil penelitian </w:t>
      </w:r>
      <w:r w:rsidR="008B2404" w:rsidRPr="00DF272C">
        <w:rPr>
          <w:rFonts w:ascii="Times New Roman" w:hAnsi="Times New Roman"/>
          <w:bCs/>
        </w:rPr>
        <w:t>Rozeff (1982)</w:t>
      </w:r>
      <w:r w:rsidRPr="00DF272C">
        <w:rPr>
          <w:rFonts w:ascii="Times New Roman" w:hAnsi="Times New Roman"/>
          <w:bCs/>
          <w:lang w:val="id-ID"/>
        </w:rPr>
        <w:t>. Rozeff (1982) menyatakan bahwa</w:t>
      </w:r>
      <w:r w:rsidR="008B2404" w:rsidRPr="00DF272C">
        <w:rPr>
          <w:rFonts w:ascii="Times New Roman" w:hAnsi="Times New Roman"/>
        </w:rPr>
        <w:t xml:space="preserve"> yang menganggap bahwa dividen nampaknya memiliki atau mengandung informasi (</w:t>
      </w:r>
      <w:r w:rsidR="008B2404" w:rsidRPr="00DF272C">
        <w:rPr>
          <w:rFonts w:ascii="Times New Roman" w:hAnsi="Times New Roman"/>
          <w:i/>
          <w:iCs/>
        </w:rPr>
        <w:t>informational content of dividend</w:t>
      </w:r>
      <w:r w:rsidR="008B2404" w:rsidRPr="00DF272C">
        <w:rPr>
          <w:rFonts w:ascii="Times New Roman" w:hAnsi="Times New Roman"/>
        </w:rPr>
        <w:t>) atau sebagai isyarat prospek perusahaan.</w:t>
      </w:r>
      <w:r>
        <w:rPr>
          <w:rFonts w:ascii="Times New Roman" w:hAnsi="Times New Roman"/>
        </w:rPr>
        <w:t xml:space="preserve"> </w:t>
      </w:r>
      <w:r w:rsidR="008B2404" w:rsidRPr="00DF272C">
        <w:rPr>
          <w:rFonts w:ascii="Times New Roman" w:hAnsi="Times New Roman"/>
        </w:rPr>
        <w:t xml:space="preserve">Apabila perusahaan meningkatkan pembayaran dividen, </w:t>
      </w:r>
      <w:r>
        <w:rPr>
          <w:rFonts w:ascii="Times New Roman" w:hAnsi="Times New Roman"/>
          <w:lang w:val="id-ID"/>
        </w:rPr>
        <w:t>boleh jadi</w:t>
      </w:r>
      <w:r w:rsidR="008B2404" w:rsidRPr="00DF272C">
        <w:rPr>
          <w:rFonts w:ascii="Times New Roman" w:hAnsi="Times New Roman"/>
        </w:rPr>
        <w:t xml:space="preserve"> diartikan oleh pemodal sebagai sinyal harapan manajemen tentang </w:t>
      </w:r>
      <w:proofErr w:type="gramStart"/>
      <w:r w:rsidR="008B2404" w:rsidRPr="00DF272C">
        <w:rPr>
          <w:rFonts w:ascii="Times New Roman" w:hAnsi="Times New Roman"/>
        </w:rPr>
        <w:t>akan</w:t>
      </w:r>
      <w:proofErr w:type="gramEnd"/>
      <w:r w:rsidR="008B2404" w:rsidRPr="00DF272C">
        <w:rPr>
          <w:rFonts w:ascii="Times New Roman" w:hAnsi="Times New Roman"/>
        </w:rPr>
        <w:t xml:space="preserve"> membaiknya kinerja perusahaan di masa yang akan datang. Sehingga kebijakan dividen memiliki pengaruh terhadap nilai perusahaan. Hal ini sesuai dengan penelitian</w:t>
      </w:r>
      <w:r>
        <w:rPr>
          <w:rFonts w:ascii="Times New Roman" w:hAnsi="Times New Roman"/>
          <w:lang w:val="id-ID"/>
        </w:rPr>
        <w:t xml:space="preserve"> klasik tentang dividen yang dilakukan oleh</w:t>
      </w:r>
      <w:r w:rsidR="008B2404" w:rsidRPr="00DF272C">
        <w:rPr>
          <w:rFonts w:ascii="Times New Roman" w:hAnsi="Times New Roman"/>
          <w:lang w:val="id-ID"/>
        </w:rPr>
        <w:t xml:space="preserve"> </w:t>
      </w:r>
      <w:r w:rsidR="008B2404" w:rsidRPr="00DF272C">
        <w:rPr>
          <w:rFonts w:ascii="Times New Roman" w:hAnsi="Times New Roman"/>
          <w:lang w:eastAsia="zh-CN"/>
        </w:rPr>
        <w:t>Gordon (1963</w:t>
      </w:r>
      <w:proofErr w:type="gramStart"/>
      <w:r w:rsidR="008B2404" w:rsidRPr="00DF272C">
        <w:rPr>
          <w:rFonts w:ascii="Times New Roman" w:hAnsi="Times New Roman"/>
          <w:lang w:eastAsia="zh-CN"/>
        </w:rPr>
        <w:t>)  &amp;</w:t>
      </w:r>
      <w:proofErr w:type="gramEnd"/>
      <w:r w:rsidR="008B2404" w:rsidRPr="00DF272C">
        <w:rPr>
          <w:rFonts w:ascii="Times New Roman" w:hAnsi="Times New Roman"/>
          <w:lang w:eastAsia="zh-CN"/>
        </w:rPr>
        <w:t xml:space="preserve"> Bhattacharya  (1979)</w:t>
      </w:r>
      <w:r w:rsidR="008B2404" w:rsidRPr="00DF272C">
        <w:rPr>
          <w:rFonts w:ascii="Times New Roman" w:hAnsi="Times New Roman"/>
          <w:lang w:val="id-ID" w:eastAsia="zh-CN"/>
        </w:rPr>
        <w:t xml:space="preserve">, </w:t>
      </w:r>
      <w:r w:rsidR="008B2404" w:rsidRPr="00DF272C">
        <w:rPr>
          <w:rFonts w:ascii="Times New Roman" w:hAnsi="Times New Roman"/>
          <w:lang w:eastAsia="zh-CN"/>
        </w:rPr>
        <w:t>Myers &amp; Majluf  (1984)</w:t>
      </w:r>
      <w:r w:rsidR="008B2404" w:rsidRPr="00DF272C">
        <w:rPr>
          <w:rFonts w:ascii="Times New Roman" w:hAnsi="Times New Roman"/>
          <w:lang w:val="id-ID" w:eastAsia="zh-CN"/>
        </w:rPr>
        <w:t>.</w:t>
      </w:r>
    </w:p>
    <w:p w:rsidR="007F08FA" w:rsidRDefault="007F08FA" w:rsidP="007F08FA">
      <w:pPr>
        <w:spacing w:after="0" w:line="360" w:lineRule="auto"/>
        <w:ind w:left="720" w:right="504" w:firstLine="720"/>
        <w:jc w:val="both"/>
        <w:rPr>
          <w:rFonts w:ascii="Times New Roman" w:hAnsi="Times New Roman"/>
          <w:spacing w:val="2"/>
          <w:szCs w:val="24"/>
          <w:lang w:val="id-ID"/>
        </w:rPr>
      </w:pPr>
    </w:p>
    <w:p w:rsidR="00D11A5E" w:rsidRPr="007F08FA" w:rsidRDefault="00D11A5E" w:rsidP="007F08FA">
      <w:pPr>
        <w:spacing w:after="0" w:line="360" w:lineRule="auto"/>
        <w:ind w:left="720" w:right="504" w:firstLine="720"/>
        <w:jc w:val="both"/>
        <w:rPr>
          <w:rFonts w:ascii="Times New Roman" w:hAnsi="Times New Roman"/>
          <w:spacing w:val="2"/>
          <w:szCs w:val="24"/>
          <w:lang w:val="id-ID"/>
        </w:rPr>
      </w:pPr>
    </w:p>
    <w:p w:rsidR="00A85BA0" w:rsidRDefault="00A85BA0" w:rsidP="007F08FA">
      <w:pPr>
        <w:pStyle w:val="ListParagraph"/>
        <w:numPr>
          <w:ilvl w:val="0"/>
          <w:numId w:val="9"/>
        </w:numPr>
        <w:spacing w:after="0" w:line="360" w:lineRule="auto"/>
        <w:rPr>
          <w:rFonts w:ascii="Times New Roman" w:hAnsi="Times New Roman"/>
          <w:b/>
          <w:bCs/>
          <w:color w:val="000000" w:themeColor="text1"/>
          <w:w w:val="105"/>
          <w:szCs w:val="24"/>
        </w:rPr>
      </w:pPr>
      <w:r w:rsidRPr="00A85BA0">
        <w:rPr>
          <w:rFonts w:ascii="Times New Roman" w:hAnsi="Times New Roman"/>
          <w:b/>
          <w:bCs/>
          <w:color w:val="000000" w:themeColor="text1"/>
          <w:w w:val="105"/>
          <w:szCs w:val="24"/>
        </w:rPr>
        <w:t>Kinerja Saham PTBA</w:t>
      </w:r>
    </w:p>
    <w:p w:rsidR="00DF272C" w:rsidRDefault="00DF272C" w:rsidP="00DF272C">
      <w:pPr>
        <w:spacing w:before="72" w:line="321" w:lineRule="auto"/>
        <w:ind w:right="1440"/>
        <w:jc w:val="both"/>
        <w:rPr>
          <w:rFonts w:ascii="Times New Roman" w:hAnsi="Times New Roman"/>
          <w:b/>
          <w:bCs/>
          <w:color w:val="000000" w:themeColor="text1"/>
          <w:w w:val="105"/>
          <w:sz w:val="22"/>
          <w:szCs w:val="24"/>
          <w:lang w:val="id-ID"/>
        </w:rPr>
      </w:pPr>
    </w:p>
    <w:p w:rsidR="007F08FA" w:rsidRDefault="00A85BA0" w:rsidP="007F08FA">
      <w:pPr>
        <w:spacing w:after="0" w:line="360" w:lineRule="auto"/>
        <w:ind w:left="567" w:right="-7" w:firstLine="720"/>
        <w:jc w:val="both"/>
        <w:rPr>
          <w:rFonts w:ascii="Times New Roman" w:hAnsi="Times New Roman"/>
          <w:color w:val="000000" w:themeColor="text1"/>
          <w:spacing w:val="13"/>
          <w:szCs w:val="24"/>
          <w:lang w:val="id-ID"/>
        </w:rPr>
      </w:pPr>
      <w:r w:rsidRPr="007F08FA">
        <w:rPr>
          <w:rFonts w:ascii="Times New Roman" w:hAnsi="Times New Roman"/>
          <w:color w:val="000000" w:themeColor="text1"/>
          <w:spacing w:val="14"/>
          <w:szCs w:val="24"/>
        </w:rPr>
        <w:t xml:space="preserve">Saham Perseroan diperdagangkan di Bursa Efek Indonesia (BEI) dengan kode perdagangan </w:t>
      </w:r>
      <w:r w:rsidRPr="007F08FA">
        <w:rPr>
          <w:rFonts w:ascii="Times New Roman" w:hAnsi="Times New Roman"/>
          <w:color w:val="000000" w:themeColor="text1"/>
          <w:spacing w:val="10"/>
          <w:szCs w:val="24"/>
        </w:rPr>
        <w:t xml:space="preserve">PTBA sejak </w:t>
      </w:r>
      <w:r w:rsidRPr="007F08FA">
        <w:rPr>
          <w:rFonts w:ascii="Times New Roman" w:hAnsi="Times New Roman"/>
          <w:i/>
          <w:iCs/>
          <w:color w:val="000000" w:themeColor="text1"/>
          <w:spacing w:val="10"/>
          <w:szCs w:val="24"/>
        </w:rPr>
        <w:t>Initial Public Offering</w:t>
      </w:r>
      <w:r w:rsidRPr="007F08FA">
        <w:rPr>
          <w:rFonts w:ascii="Times New Roman" w:hAnsi="Times New Roman"/>
          <w:color w:val="000000" w:themeColor="text1"/>
          <w:spacing w:val="10"/>
          <w:szCs w:val="24"/>
        </w:rPr>
        <w:t xml:space="preserve"> (IPO) Desember tahun 2002. Selain tercatat di papan utama, </w:t>
      </w:r>
      <w:r w:rsidRPr="007F08FA">
        <w:rPr>
          <w:rFonts w:ascii="Times New Roman" w:hAnsi="Times New Roman"/>
          <w:color w:val="000000" w:themeColor="text1"/>
          <w:spacing w:val="14"/>
          <w:szCs w:val="24"/>
        </w:rPr>
        <w:t xml:space="preserve">saham PTBA tercatat sebagai anggota dari Jakarta Mining Index, SRI-Kehati (Saham yang </w:t>
      </w:r>
      <w:r w:rsidRPr="007F08FA">
        <w:rPr>
          <w:rFonts w:ascii="Times New Roman" w:hAnsi="Times New Roman"/>
          <w:color w:val="000000" w:themeColor="text1"/>
          <w:spacing w:val="13"/>
          <w:szCs w:val="24"/>
        </w:rPr>
        <w:t xml:space="preserve">tergabung dalam </w:t>
      </w:r>
      <w:r w:rsidRPr="007F08FA">
        <w:rPr>
          <w:rFonts w:ascii="Times New Roman" w:hAnsi="Times New Roman"/>
          <w:i/>
          <w:iCs/>
          <w:color w:val="000000" w:themeColor="text1"/>
          <w:spacing w:val="13"/>
          <w:szCs w:val="24"/>
        </w:rPr>
        <w:t>Sustainabilty Responsibility Investment</w:t>
      </w:r>
      <w:r w:rsidRPr="007F08FA">
        <w:rPr>
          <w:rFonts w:ascii="Times New Roman" w:hAnsi="Times New Roman"/>
          <w:color w:val="000000" w:themeColor="text1"/>
          <w:spacing w:val="13"/>
          <w:szCs w:val="24"/>
        </w:rPr>
        <w:t xml:space="preserve"> dan keanekaragaman hayati yang </w:t>
      </w:r>
      <w:r w:rsidRPr="007F08FA">
        <w:rPr>
          <w:rFonts w:ascii="Times New Roman" w:hAnsi="Times New Roman"/>
          <w:color w:val="000000" w:themeColor="text1"/>
          <w:spacing w:val="12"/>
          <w:szCs w:val="24"/>
        </w:rPr>
        <w:t xml:space="preserve">peduli pada konservasi sumber daya alam), LQ45 (45 saham terlikuid di BEI), Jakarta Islamic </w:t>
      </w:r>
      <w:r w:rsidRPr="007F08FA">
        <w:rPr>
          <w:rFonts w:ascii="Times New Roman" w:hAnsi="Times New Roman"/>
          <w:color w:val="000000" w:themeColor="text1"/>
          <w:spacing w:val="11"/>
          <w:szCs w:val="24"/>
        </w:rPr>
        <w:t>Index, Indeks Bisnis-27 dan Indeks Kompas 100.</w:t>
      </w:r>
      <w:r w:rsidR="007F08FA">
        <w:rPr>
          <w:rFonts w:ascii="Times New Roman" w:hAnsi="Times New Roman"/>
          <w:color w:val="000000" w:themeColor="text1"/>
          <w:spacing w:val="11"/>
          <w:szCs w:val="24"/>
          <w:lang w:val="id-ID"/>
        </w:rPr>
        <w:t xml:space="preserve"> </w:t>
      </w:r>
      <w:r w:rsidRPr="007F08FA">
        <w:rPr>
          <w:rFonts w:ascii="Times New Roman" w:hAnsi="Times New Roman"/>
          <w:color w:val="000000" w:themeColor="text1"/>
          <w:spacing w:val="9"/>
          <w:szCs w:val="24"/>
        </w:rPr>
        <w:t xml:space="preserve">Sektor tambang batubara adalah salah satu sektor yang terkena dampak langsung dari kurang </w:t>
      </w:r>
      <w:r w:rsidRPr="007F08FA">
        <w:rPr>
          <w:rFonts w:ascii="Times New Roman" w:hAnsi="Times New Roman"/>
          <w:color w:val="000000" w:themeColor="text1"/>
          <w:spacing w:val="14"/>
          <w:szCs w:val="24"/>
        </w:rPr>
        <w:t xml:space="preserve">kondusifnya perekonomian global di tahun 2012. Melemahnya perekonomian global membuat </w:t>
      </w:r>
      <w:r w:rsidRPr="007F08FA">
        <w:rPr>
          <w:rFonts w:ascii="Times New Roman" w:hAnsi="Times New Roman"/>
          <w:color w:val="000000" w:themeColor="text1"/>
          <w:spacing w:val="17"/>
          <w:szCs w:val="24"/>
        </w:rPr>
        <w:t xml:space="preserve">lalu lintas barang berkurang, dengan akibat kegiatan produksi berkurang dan permintaan </w:t>
      </w:r>
      <w:r w:rsidRPr="007F08FA">
        <w:rPr>
          <w:rFonts w:ascii="Times New Roman" w:hAnsi="Times New Roman"/>
          <w:color w:val="000000" w:themeColor="text1"/>
          <w:spacing w:val="12"/>
          <w:szCs w:val="24"/>
        </w:rPr>
        <w:t xml:space="preserve">bahan bakar, termasuk batutara untuk proses produksi </w:t>
      </w:r>
      <w:r w:rsidRPr="007F08FA">
        <w:rPr>
          <w:rFonts w:ascii="Times New Roman" w:hAnsi="Times New Roman"/>
          <w:color w:val="000000" w:themeColor="text1"/>
          <w:spacing w:val="12"/>
          <w:szCs w:val="24"/>
        </w:rPr>
        <w:lastRenderedPageBreak/>
        <w:t xml:space="preserve">juga berkurang. Akibatnya, stok hasil </w:t>
      </w:r>
      <w:r w:rsidRPr="007F08FA">
        <w:rPr>
          <w:rFonts w:ascii="Times New Roman" w:hAnsi="Times New Roman"/>
          <w:color w:val="000000" w:themeColor="text1"/>
          <w:spacing w:val="14"/>
          <w:szCs w:val="24"/>
        </w:rPr>
        <w:t xml:space="preserve">produksi menumpuk dan harga batubara di pasar global maupun domestik turun. Sebagai </w:t>
      </w:r>
      <w:r w:rsidRPr="007F08FA">
        <w:rPr>
          <w:rFonts w:ascii="Times New Roman" w:hAnsi="Times New Roman"/>
          <w:color w:val="000000" w:themeColor="text1"/>
          <w:spacing w:val="13"/>
          <w:szCs w:val="24"/>
        </w:rPr>
        <w:t xml:space="preserve">gambaran, penurunan harga batubara kalori 5.800-6.300 Kcal/kg rata-rata turun sebesar 21% dari posisi akhir tahun 2011. </w:t>
      </w:r>
    </w:p>
    <w:p w:rsidR="007F08FA" w:rsidRDefault="00A85BA0" w:rsidP="007F08FA">
      <w:pPr>
        <w:spacing w:after="0" w:line="360" w:lineRule="auto"/>
        <w:ind w:left="567" w:right="-7" w:firstLine="720"/>
        <w:jc w:val="both"/>
        <w:rPr>
          <w:rFonts w:ascii="Times New Roman" w:hAnsi="Times New Roman"/>
          <w:color w:val="000000" w:themeColor="text1"/>
          <w:spacing w:val="13"/>
          <w:szCs w:val="24"/>
          <w:lang w:val="id-ID"/>
        </w:rPr>
      </w:pPr>
      <w:r w:rsidRPr="007F08FA">
        <w:rPr>
          <w:rFonts w:ascii="Times New Roman" w:hAnsi="Times New Roman"/>
          <w:color w:val="000000" w:themeColor="text1"/>
          <w:spacing w:val="13"/>
          <w:szCs w:val="24"/>
        </w:rPr>
        <w:t xml:space="preserve">Akibatnya, harga saham emiten batubara di pasar modal turut melemah, tak terkecuali harga </w:t>
      </w:r>
      <w:r w:rsidRPr="007F08FA">
        <w:rPr>
          <w:rFonts w:ascii="Times New Roman" w:hAnsi="Times New Roman"/>
          <w:color w:val="000000" w:themeColor="text1"/>
          <w:spacing w:val="9"/>
          <w:szCs w:val="24"/>
        </w:rPr>
        <w:t xml:space="preserve">saham PTBA yang berfluktuasi seiring dengan perkembangan perekonomian dan sentimen pasar </w:t>
      </w:r>
      <w:r w:rsidRPr="007F08FA">
        <w:rPr>
          <w:rFonts w:ascii="Times New Roman" w:hAnsi="Times New Roman"/>
          <w:color w:val="000000" w:themeColor="text1"/>
          <w:spacing w:val="13"/>
          <w:szCs w:val="24"/>
        </w:rPr>
        <w:t xml:space="preserve">modal global. Seperti halnya kondisi bursa, pada tahun 2012 harga saham PTBA mengalami </w:t>
      </w:r>
      <w:r w:rsidRPr="007F08FA">
        <w:rPr>
          <w:rFonts w:ascii="Times New Roman" w:hAnsi="Times New Roman"/>
          <w:color w:val="000000" w:themeColor="text1"/>
          <w:spacing w:val="10"/>
          <w:szCs w:val="24"/>
        </w:rPr>
        <w:t xml:space="preserve">tekanan terbesar pada akhir kuartal ke-2, saat berita kegagalan kompromi program </w:t>
      </w:r>
      <w:r w:rsidRPr="007F08FA">
        <w:rPr>
          <w:rFonts w:ascii="Times New Roman" w:hAnsi="Times New Roman"/>
          <w:i/>
          <w:iCs/>
          <w:color w:val="000000" w:themeColor="text1"/>
          <w:spacing w:val="10"/>
          <w:szCs w:val="24"/>
        </w:rPr>
        <w:t>bail-out</w:t>
      </w:r>
      <w:r w:rsidRPr="007F08FA">
        <w:rPr>
          <w:rFonts w:ascii="Times New Roman" w:hAnsi="Times New Roman"/>
          <w:color w:val="000000" w:themeColor="text1"/>
          <w:spacing w:val="10"/>
          <w:szCs w:val="24"/>
        </w:rPr>
        <w:t xml:space="preserve"> di </w:t>
      </w:r>
      <w:r w:rsidRPr="007F08FA">
        <w:rPr>
          <w:rFonts w:ascii="Times New Roman" w:hAnsi="Times New Roman"/>
          <w:color w:val="000000" w:themeColor="text1"/>
          <w:spacing w:val="9"/>
          <w:szCs w:val="24"/>
        </w:rPr>
        <w:t xml:space="preserve">kawasan Eropa merebak. Kondisi </w:t>
      </w:r>
      <w:r w:rsidRPr="007F08FA">
        <w:rPr>
          <w:rFonts w:ascii="Times New Roman" w:hAnsi="Times New Roman"/>
          <w:i/>
          <w:iCs/>
          <w:color w:val="000000" w:themeColor="text1"/>
          <w:spacing w:val="9"/>
          <w:szCs w:val="24"/>
        </w:rPr>
        <w:t>panic selling</w:t>
      </w:r>
      <w:r w:rsidRPr="007F08FA">
        <w:rPr>
          <w:rFonts w:ascii="Times New Roman" w:hAnsi="Times New Roman"/>
          <w:color w:val="000000" w:themeColor="text1"/>
          <w:spacing w:val="9"/>
          <w:szCs w:val="24"/>
        </w:rPr>
        <w:t xml:space="preserve"> yang sempat terjadi membuat volume transaksi </w:t>
      </w:r>
      <w:r w:rsidRPr="007F08FA">
        <w:rPr>
          <w:rFonts w:ascii="Times New Roman" w:hAnsi="Times New Roman"/>
          <w:color w:val="000000" w:themeColor="text1"/>
          <w:spacing w:val="11"/>
          <w:szCs w:val="24"/>
        </w:rPr>
        <w:t>melonjak dengan harga transaksi yang semakin rendah. Harga saham PTBA sempat menyentuh level terendahnya sepanjang tahun 2012, sebesar Rp12.950 atau turun 25</w:t>
      </w:r>
      <w:proofErr w:type="gramStart"/>
      <w:r w:rsidRPr="007F08FA">
        <w:rPr>
          <w:rFonts w:ascii="Times New Roman" w:hAnsi="Times New Roman"/>
          <w:color w:val="000000" w:themeColor="text1"/>
          <w:spacing w:val="11"/>
          <w:szCs w:val="24"/>
        </w:rPr>
        <w:t>,4</w:t>
      </w:r>
      <w:proofErr w:type="gramEnd"/>
      <w:r w:rsidRPr="007F08FA">
        <w:rPr>
          <w:rFonts w:ascii="Times New Roman" w:hAnsi="Times New Roman"/>
          <w:color w:val="000000" w:themeColor="text1"/>
          <w:spacing w:val="11"/>
          <w:szCs w:val="24"/>
        </w:rPr>
        <w:t xml:space="preserve">% dibawah harga </w:t>
      </w:r>
      <w:r w:rsidRPr="007F08FA">
        <w:rPr>
          <w:rFonts w:ascii="Times New Roman" w:hAnsi="Times New Roman"/>
          <w:color w:val="000000" w:themeColor="text1"/>
          <w:spacing w:val="10"/>
          <w:szCs w:val="24"/>
        </w:rPr>
        <w:t>penutupan tahun 2011, yang sebesar Rp17.350.</w:t>
      </w:r>
    </w:p>
    <w:p w:rsidR="007F08FA" w:rsidRDefault="00F10A19" w:rsidP="007F08FA">
      <w:pPr>
        <w:spacing w:after="0" w:line="360" w:lineRule="auto"/>
        <w:ind w:left="567" w:right="-7" w:firstLine="720"/>
        <w:jc w:val="both"/>
        <w:rPr>
          <w:rFonts w:ascii="Times New Roman" w:hAnsi="Times New Roman"/>
          <w:color w:val="000000" w:themeColor="text1"/>
          <w:spacing w:val="13"/>
          <w:szCs w:val="24"/>
          <w:lang w:val="id-ID"/>
        </w:rPr>
      </w:pPr>
      <w:r>
        <w:rPr>
          <w:noProof/>
        </w:rPr>
        <w:pict>
          <v:line id="_x0000_s1037" style="position:absolute;left:0;text-align:left;z-index:251674624;mso-wrap-distance-left:0;mso-wrap-distance-right:0;mso-position-horizontal-relative:page;mso-position-vertical-relative:page" from="-7.1pt,810.3pt" to="545.9pt,810.3pt" o:allowincell="f" strokeweight=".5pt">
            <w10:wrap type="square" anchorx="page" anchory="page"/>
          </v:line>
        </w:pict>
      </w:r>
      <w:r w:rsidR="00A85BA0" w:rsidRPr="007F08FA">
        <w:rPr>
          <w:rFonts w:ascii="Times New Roman" w:hAnsi="Times New Roman"/>
          <w:color w:val="000000" w:themeColor="text1"/>
          <w:spacing w:val="17"/>
          <w:szCs w:val="24"/>
        </w:rPr>
        <w:t xml:space="preserve">Kuatnya perekonomian dalam negeri dan komunikasi intensif dengan pelaku pasar modal melalui melalui program </w:t>
      </w:r>
      <w:r w:rsidR="00A85BA0" w:rsidRPr="007F08FA">
        <w:rPr>
          <w:rFonts w:ascii="Times New Roman" w:hAnsi="Times New Roman"/>
          <w:i/>
          <w:iCs/>
          <w:color w:val="000000" w:themeColor="text1"/>
          <w:spacing w:val="17"/>
          <w:szCs w:val="24"/>
        </w:rPr>
        <w:t>investor meeting</w:t>
      </w:r>
      <w:r w:rsidR="00A85BA0" w:rsidRPr="007F08FA">
        <w:rPr>
          <w:rFonts w:ascii="Times New Roman" w:hAnsi="Times New Roman"/>
          <w:color w:val="000000" w:themeColor="text1"/>
          <w:spacing w:val="17"/>
          <w:szCs w:val="24"/>
        </w:rPr>
        <w:t xml:space="preserve"> yang mencakup </w:t>
      </w:r>
      <w:r w:rsidR="00A85BA0" w:rsidRPr="007F08FA">
        <w:rPr>
          <w:rFonts w:ascii="Times New Roman" w:hAnsi="Times New Roman"/>
          <w:i/>
          <w:iCs/>
          <w:color w:val="000000" w:themeColor="text1"/>
          <w:spacing w:val="17"/>
          <w:szCs w:val="24"/>
        </w:rPr>
        <w:t>Non-Deal Roadshows</w:t>
      </w:r>
      <w:r w:rsidR="00A85BA0" w:rsidRPr="007F08FA">
        <w:rPr>
          <w:rFonts w:ascii="Times New Roman" w:hAnsi="Times New Roman"/>
          <w:color w:val="000000" w:themeColor="text1"/>
          <w:spacing w:val="17"/>
          <w:szCs w:val="24"/>
        </w:rPr>
        <w:t xml:space="preserve"> (NDR), </w:t>
      </w:r>
      <w:r w:rsidR="00A85BA0" w:rsidRPr="007F08FA">
        <w:rPr>
          <w:rFonts w:ascii="Times New Roman" w:hAnsi="Times New Roman"/>
          <w:i/>
          <w:iCs/>
          <w:color w:val="000000" w:themeColor="text1"/>
          <w:spacing w:val="8"/>
          <w:szCs w:val="24"/>
        </w:rPr>
        <w:t>site visit, analyst meeting, call conference, one-one meetings maupun small group meetings</w:t>
      </w:r>
      <w:r w:rsidR="00A85BA0" w:rsidRPr="007F08FA">
        <w:rPr>
          <w:rFonts w:ascii="Times New Roman" w:hAnsi="Times New Roman"/>
          <w:color w:val="000000" w:themeColor="text1"/>
          <w:spacing w:val="8"/>
          <w:szCs w:val="24"/>
        </w:rPr>
        <w:t xml:space="preserve"> </w:t>
      </w:r>
      <w:r w:rsidR="00A85BA0" w:rsidRPr="007F08FA">
        <w:rPr>
          <w:rFonts w:ascii="Times New Roman" w:hAnsi="Times New Roman"/>
          <w:color w:val="000000" w:themeColor="text1"/>
          <w:spacing w:val="13"/>
          <w:szCs w:val="24"/>
        </w:rPr>
        <w:t xml:space="preserve">mengenai kemajuan realisasi pengembangan usaha, membuat saham PTBA yang termasuk </w:t>
      </w:r>
      <w:r w:rsidR="00A85BA0" w:rsidRPr="007F08FA">
        <w:rPr>
          <w:rFonts w:ascii="Times New Roman" w:hAnsi="Times New Roman"/>
          <w:color w:val="000000" w:themeColor="text1"/>
          <w:spacing w:val="20"/>
          <w:szCs w:val="24"/>
        </w:rPr>
        <w:t xml:space="preserve">kelompok </w:t>
      </w:r>
      <w:r w:rsidR="00A85BA0" w:rsidRPr="007F08FA">
        <w:rPr>
          <w:rFonts w:ascii="Times New Roman" w:hAnsi="Times New Roman"/>
          <w:i/>
          <w:iCs/>
          <w:color w:val="000000" w:themeColor="text1"/>
          <w:spacing w:val="20"/>
          <w:szCs w:val="24"/>
        </w:rPr>
        <w:t>bluechip</w:t>
      </w:r>
      <w:r w:rsidR="00A85BA0" w:rsidRPr="007F08FA">
        <w:rPr>
          <w:rFonts w:ascii="Times New Roman" w:hAnsi="Times New Roman"/>
          <w:color w:val="000000" w:themeColor="text1"/>
          <w:spacing w:val="20"/>
          <w:szCs w:val="24"/>
        </w:rPr>
        <w:t xml:space="preserve">, kembali menguat. Harga saham PTBA kemudian cenderung naik </w:t>
      </w:r>
      <w:r w:rsidR="00A85BA0" w:rsidRPr="007F08FA">
        <w:rPr>
          <w:rFonts w:ascii="Times New Roman" w:hAnsi="Times New Roman"/>
          <w:color w:val="000000" w:themeColor="text1"/>
          <w:spacing w:val="15"/>
          <w:szCs w:val="24"/>
        </w:rPr>
        <w:t>sepanjang sisa periode perdagangan, sehingga akhirnya ditutup pada harga Rp15.100. Level ini menunjukkan harga saham Perseroan hanya terkoreksi sebesar 12</w:t>
      </w:r>
      <w:proofErr w:type="gramStart"/>
      <w:r w:rsidR="00A85BA0" w:rsidRPr="007F08FA">
        <w:rPr>
          <w:rFonts w:ascii="Times New Roman" w:hAnsi="Times New Roman"/>
          <w:color w:val="000000" w:themeColor="text1"/>
          <w:spacing w:val="15"/>
          <w:szCs w:val="24"/>
        </w:rPr>
        <w:t>,97</w:t>
      </w:r>
      <w:proofErr w:type="gramEnd"/>
      <w:r w:rsidR="00A85BA0" w:rsidRPr="007F08FA">
        <w:rPr>
          <w:rFonts w:ascii="Times New Roman" w:hAnsi="Times New Roman"/>
          <w:color w:val="000000" w:themeColor="text1"/>
          <w:spacing w:val="15"/>
          <w:szCs w:val="24"/>
        </w:rPr>
        <w:t xml:space="preserve">% dari penutupan </w:t>
      </w:r>
      <w:r w:rsidR="00A85BA0" w:rsidRPr="007F08FA">
        <w:rPr>
          <w:rFonts w:ascii="Times New Roman" w:hAnsi="Times New Roman"/>
          <w:color w:val="000000" w:themeColor="text1"/>
          <w:spacing w:val="10"/>
          <w:szCs w:val="24"/>
        </w:rPr>
        <w:t>harga di akhir tahun 2011</w:t>
      </w:r>
    </w:p>
    <w:p w:rsidR="007F08FA" w:rsidRDefault="007F08FA" w:rsidP="007F08FA">
      <w:pPr>
        <w:spacing w:after="0" w:line="360" w:lineRule="auto"/>
        <w:ind w:left="567" w:right="-7" w:firstLine="720"/>
        <w:jc w:val="both"/>
        <w:rPr>
          <w:rFonts w:ascii="Times New Roman" w:hAnsi="Times New Roman"/>
          <w:color w:val="000000" w:themeColor="text1"/>
          <w:spacing w:val="13"/>
          <w:szCs w:val="24"/>
          <w:lang w:val="id-ID"/>
        </w:rPr>
      </w:pPr>
      <w:r>
        <w:rPr>
          <w:rFonts w:ascii="Times New Roman" w:hAnsi="Times New Roman"/>
          <w:b/>
          <w:bCs/>
          <w:spacing w:val="-6"/>
          <w:w w:val="105"/>
          <w:szCs w:val="24"/>
          <w:lang w:val="id-ID"/>
        </w:rPr>
        <w:t>Penjelasan secara akuntansi tentang m</w:t>
      </w:r>
      <w:r w:rsidR="00A85BA0" w:rsidRPr="007F08FA">
        <w:rPr>
          <w:rFonts w:ascii="Times New Roman" w:hAnsi="Times New Roman"/>
          <w:b/>
          <w:bCs/>
          <w:spacing w:val="-6"/>
          <w:w w:val="105"/>
          <w:szCs w:val="24"/>
        </w:rPr>
        <w:t>odal saham</w:t>
      </w:r>
      <w:r>
        <w:rPr>
          <w:rFonts w:ascii="Times New Roman" w:hAnsi="Times New Roman"/>
          <w:b/>
          <w:bCs/>
          <w:spacing w:val="-6"/>
          <w:w w:val="105"/>
          <w:szCs w:val="24"/>
          <w:lang w:val="id-ID"/>
        </w:rPr>
        <w:t>, b</w:t>
      </w:r>
      <w:r w:rsidR="00A85BA0" w:rsidRPr="007F08FA">
        <w:rPr>
          <w:rFonts w:ascii="Times New Roman" w:hAnsi="Times New Roman"/>
          <w:szCs w:val="24"/>
        </w:rPr>
        <w:t xml:space="preserve">iaya tambahan yang secara langsung dapat </w:t>
      </w:r>
      <w:r w:rsidR="00A85BA0" w:rsidRPr="007F08FA">
        <w:rPr>
          <w:rFonts w:ascii="Times New Roman" w:hAnsi="Times New Roman"/>
          <w:spacing w:val="1"/>
          <w:szCs w:val="24"/>
        </w:rPr>
        <w:t xml:space="preserve">diatribusikan kepada penerbitan saham biasa </w:t>
      </w:r>
      <w:r w:rsidR="00A85BA0" w:rsidRPr="007F08FA">
        <w:rPr>
          <w:rFonts w:ascii="Times New Roman" w:hAnsi="Times New Roman"/>
          <w:spacing w:val="9"/>
          <w:szCs w:val="24"/>
        </w:rPr>
        <w:t xml:space="preserve">atau opsi disajikan pada ekuitas sebagai </w:t>
      </w:r>
      <w:r w:rsidR="00A85BA0" w:rsidRPr="007F08FA">
        <w:rPr>
          <w:rFonts w:ascii="Times New Roman" w:hAnsi="Times New Roman"/>
          <w:spacing w:val="7"/>
          <w:szCs w:val="24"/>
        </w:rPr>
        <w:t xml:space="preserve">pengurang penerimaan, setelah dikurangi </w:t>
      </w:r>
      <w:r w:rsidR="00A85BA0" w:rsidRPr="007F08FA">
        <w:rPr>
          <w:rFonts w:ascii="Times New Roman" w:hAnsi="Times New Roman"/>
          <w:szCs w:val="24"/>
        </w:rPr>
        <w:t>pajak.</w:t>
      </w:r>
      <w:r>
        <w:rPr>
          <w:rFonts w:ascii="Times New Roman" w:hAnsi="Times New Roman"/>
          <w:color w:val="000000" w:themeColor="text1"/>
          <w:spacing w:val="13"/>
          <w:szCs w:val="24"/>
          <w:lang w:val="id-ID"/>
        </w:rPr>
        <w:t xml:space="preserve"> </w:t>
      </w:r>
      <w:r w:rsidR="00A85BA0" w:rsidRPr="007F08FA">
        <w:rPr>
          <w:rFonts w:ascii="Times New Roman" w:hAnsi="Times New Roman"/>
          <w:spacing w:val="6"/>
          <w:szCs w:val="24"/>
        </w:rPr>
        <w:t xml:space="preserve">Ketika entitas Grup membeli modal saham </w:t>
      </w:r>
      <w:r w:rsidR="00A85BA0" w:rsidRPr="007F08FA">
        <w:rPr>
          <w:rFonts w:ascii="Times New Roman" w:hAnsi="Times New Roman"/>
          <w:spacing w:val="-2"/>
          <w:szCs w:val="24"/>
        </w:rPr>
        <w:t xml:space="preserve">ekuitas entitas (saham treasuri), imbalan yang </w:t>
      </w:r>
      <w:r w:rsidR="00A85BA0" w:rsidRPr="007F08FA">
        <w:rPr>
          <w:rFonts w:ascii="Times New Roman" w:hAnsi="Times New Roman"/>
          <w:spacing w:val="11"/>
          <w:szCs w:val="24"/>
        </w:rPr>
        <w:t xml:space="preserve">dibayar, termasuk biaya tambahan yang </w:t>
      </w:r>
      <w:r w:rsidR="00A85BA0" w:rsidRPr="007F08FA">
        <w:rPr>
          <w:rFonts w:ascii="Times New Roman" w:hAnsi="Times New Roman"/>
          <w:spacing w:val="-2"/>
          <w:szCs w:val="24"/>
        </w:rPr>
        <w:t xml:space="preserve">secara langsung dapat diatribusikan (dikurangi </w:t>
      </w:r>
      <w:r w:rsidR="00A85BA0" w:rsidRPr="007F08FA">
        <w:rPr>
          <w:rFonts w:ascii="Times New Roman" w:hAnsi="Times New Roman"/>
          <w:spacing w:val="3"/>
          <w:szCs w:val="24"/>
        </w:rPr>
        <w:t xml:space="preserve">pajak penghasilan) dikurangkan dari ekuitas </w:t>
      </w:r>
      <w:r w:rsidR="00A85BA0" w:rsidRPr="007F08FA">
        <w:rPr>
          <w:rFonts w:ascii="Times New Roman" w:hAnsi="Times New Roman"/>
          <w:spacing w:val="7"/>
          <w:szCs w:val="24"/>
        </w:rPr>
        <w:t xml:space="preserve">yang diatribusikan kepada pemilik ekuitas </w:t>
      </w:r>
      <w:r w:rsidR="00A85BA0" w:rsidRPr="007F08FA">
        <w:rPr>
          <w:rFonts w:ascii="Times New Roman" w:hAnsi="Times New Roman"/>
          <w:spacing w:val="-3"/>
          <w:szCs w:val="24"/>
        </w:rPr>
        <w:t xml:space="preserve">entitas sampai saham tersebut dibatalkan </w:t>
      </w:r>
      <w:r w:rsidR="00A85BA0" w:rsidRPr="007F08FA">
        <w:rPr>
          <w:rFonts w:ascii="Times New Roman" w:hAnsi="Times New Roman"/>
          <w:spacing w:val="-3"/>
          <w:szCs w:val="24"/>
        </w:rPr>
        <w:lastRenderedPageBreak/>
        <w:t xml:space="preserve">atau </w:t>
      </w:r>
      <w:r w:rsidR="00A85BA0" w:rsidRPr="007F08FA">
        <w:rPr>
          <w:rFonts w:ascii="Times New Roman" w:hAnsi="Times New Roman"/>
          <w:spacing w:val="11"/>
          <w:szCs w:val="24"/>
        </w:rPr>
        <w:t xml:space="preserve">diterbitkan kembali. Ketika saham biasa </w:t>
      </w:r>
      <w:r w:rsidR="00A85BA0" w:rsidRPr="007F08FA">
        <w:rPr>
          <w:rFonts w:ascii="Times New Roman" w:hAnsi="Times New Roman"/>
          <w:spacing w:val="9"/>
          <w:szCs w:val="24"/>
        </w:rPr>
        <w:t xml:space="preserve">tersebut selanjutnya diterbitkan kembali, </w:t>
      </w:r>
      <w:r w:rsidR="00A85BA0" w:rsidRPr="007F08FA">
        <w:rPr>
          <w:rFonts w:ascii="Times New Roman" w:hAnsi="Times New Roman"/>
          <w:spacing w:val="14"/>
          <w:szCs w:val="24"/>
        </w:rPr>
        <w:t xml:space="preserve">imbalan yang diterima, dikurangi biaya </w:t>
      </w:r>
      <w:r w:rsidR="00A85BA0" w:rsidRPr="007F08FA">
        <w:rPr>
          <w:rFonts w:ascii="Times New Roman" w:hAnsi="Times New Roman"/>
          <w:spacing w:val="1"/>
          <w:szCs w:val="24"/>
        </w:rPr>
        <w:t xml:space="preserve">tambahan transaksi yang terkait dan dampak </w:t>
      </w:r>
      <w:r w:rsidR="00A85BA0" w:rsidRPr="007F08FA">
        <w:rPr>
          <w:rFonts w:ascii="Times New Roman" w:hAnsi="Times New Roman"/>
          <w:spacing w:val="4"/>
          <w:szCs w:val="24"/>
        </w:rPr>
        <w:t xml:space="preserve">pajak penghasilan yang terkait dimasukkan </w:t>
      </w:r>
      <w:r w:rsidR="00A85BA0" w:rsidRPr="007F08FA">
        <w:rPr>
          <w:rFonts w:ascii="Times New Roman" w:hAnsi="Times New Roman"/>
          <w:spacing w:val="-1"/>
          <w:szCs w:val="24"/>
        </w:rPr>
        <w:t>pada ekuitas yang dapat diatribusikan kepada pemilik ekuitas entitas.</w:t>
      </w:r>
    </w:p>
    <w:p w:rsidR="007F08FA" w:rsidRPr="007F08FA" w:rsidRDefault="00A85BA0" w:rsidP="007F08FA">
      <w:pPr>
        <w:spacing w:after="0" w:line="360" w:lineRule="auto"/>
        <w:ind w:left="567" w:right="-7" w:firstLine="720"/>
        <w:jc w:val="both"/>
        <w:rPr>
          <w:rFonts w:ascii="Times New Roman" w:hAnsi="Times New Roman"/>
          <w:color w:val="000000" w:themeColor="text1"/>
          <w:spacing w:val="13"/>
          <w:szCs w:val="24"/>
          <w:lang w:val="id-ID"/>
        </w:rPr>
      </w:pPr>
      <w:r w:rsidRPr="007F08FA">
        <w:rPr>
          <w:rFonts w:ascii="Times New Roman" w:hAnsi="Times New Roman"/>
          <w:szCs w:val="24"/>
          <w:lang w:val="fi-FI"/>
        </w:rPr>
        <w:t xml:space="preserve">Selain ketiga keputusan keuangan di atas, terdapat satu variabel lain yang dapat mempengaruhi pencapaian tujuan perusahaan, yaitu struktur kepemilikan. Ada beberapa hal yang perlu diperhatikan dalam struktur kepemilikan, antara lain: (1) Kepemilikan sebagian kecil saham perusahaan oleh manajemen mempengaruhi kecenderungan untuk memaksimalkan nilai pemegang saham dibanding sekedar mencapai tujuan perusahaan semata; (2) Kepemilikan yang terkonsentrasi memberi insentif kepada pemegang saham mayoritas untuk berpartisipasi secara aktif dalam perusahaan; (3) Identitas pemilik menentukan prioritas tujuan sosial perusahaan dan (4)  maksimalisasi nilai pemegang saham, misalnya perusahaan milik pemerintah cenderung untuk mengikuti tujuan politik dibanding tujuan perusahaan. </w:t>
      </w:r>
      <w:r w:rsidR="007F08FA">
        <w:rPr>
          <w:rFonts w:ascii="Times New Roman" w:hAnsi="Times New Roman"/>
          <w:color w:val="000000" w:themeColor="text1"/>
          <w:spacing w:val="13"/>
          <w:szCs w:val="24"/>
          <w:lang w:val="id-ID"/>
        </w:rPr>
        <w:t>(5)</w:t>
      </w:r>
      <w:r w:rsidRPr="007F08FA">
        <w:rPr>
          <w:rFonts w:ascii="Times New Roman" w:hAnsi="Times New Roman"/>
          <w:szCs w:val="24"/>
          <w:lang w:val="fi-FI"/>
        </w:rPr>
        <w:t>Struktur kepemilikan ini merupakan proporsi kepemilikan saham oleh manajerial, public ataupun institusional.</w:t>
      </w:r>
    </w:p>
    <w:p w:rsidR="007F08FA" w:rsidRDefault="007F08FA" w:rsidP="007F08FA">
      <w:pPr>
        <w:spacing w:after="0" w:line="360" w:lineRule="auto"/>
        <w:rPr>
          <w:rFonts w:ascii="Times New Roman" w:hAnsi="Times New Roman"/>
          <w:b/>
          <w:bCs/>
          <w:w w:val="105"/>
          <w:szCs w:val="24"/>
          <w:lang w:val="id-ID"/>
        </w:rPr>
      </w:pPr>
    </w:p>
    <w:p w:rsidR="0040272F" w:rsidRPr="007F08FA" w:rsidRDefault="008B2404" w:rsidP="007F08FA">
      <w:pPr>
        <w:pStyle w:val="ListParagraph"/>
        <w:numPr>
          <w:ilvl w:val="0"/>
          <w:numId w:val="9"/>
        </w:numPr>
        <w:spacing w:after="0" w:line="360" w:lineRule="auto"/>
        <w:rPr>
          <w:rFonts w:ascii="Times New Roman" w:hAnsi="Times New Roman"/>
          <w:b/>
          <w:bCs/>
          <w:w w:val="105"/>
          <w:szCs w:val="24"/>
        </w:rPr>
      </w:pPr>
      <w:r w:rsidRPr="007F08FA">
        <w:rPr>
          <w:rFonts w:ascii="Times New Roman" w:hAnsi="Times New Roman"/>
          <w:b/>
          <w:bCs/>
          <w:w w:val="105"/>
          <w:szCs w:val="24"/>
        </w:rPr>
        <w:t>Strategi Investasi PTBA</w:t>
      </w:r>
    </w:p>
    <w:p w:rsidR="007F08FA" w:rsidRDefault="007F08FA" w:rsidP="007F08FA">
      <w:pPr>
        <w:pStyle w:val="BodyText"/>
        <w:spacing w:after="0" w:line="360" w:lineRule="auto"/>
        <w:ind w:firstLine="720"/>
        <w:jc w:val="both"/>
        <w:rPr>
          <w:lang w:val="id-ID"/>
        </w:rPr>
      </w:pPr>
    </w:p>
    <w:p w:rsidR="008B2404" w:rsidRPr="007F08FA" w:rsidRDefault="008B2404" w:rsidP="007F08FA">
      <w:pPr>
        <w:pStyle w:val="BodyText"/>
        <w:spacing w:after="0" w:line="360" w:lineRule="auto"/>
        <w:ind w:firstLine="720"/>
        <w:jc w:val="both"/>
      </w:pPr>
      <w:r w:rsidRPr="006A36AE">
        <w:t>Setiap perusahaan mengin</w:t>
      </w:r>
      <w:r w:rsidRPr="007F08FA">
        <w:t xml:space="preserve">ginkan adanya kelangsungan operasinya dan pertumbuhan di masa yang </w:t>
      </w:r>
      <w:proofErr w:type="gramStart"/>
      <w:r w:rsidRPr="007F08FA">
        <w:t>akan</w:t>
      </w:r>
      <w:proofErr w:type="gramEnd"/>
      <w:r w:rsidRPr="007F08FA">
        <w:t xml:space="preserve"> datang. Salah satu keputusan penting yang harus dilakukan manajer (keuangan) dalam kaitannya dengan kelangsungan operasi perusahaan adalah keputusan pendanaan atau keputusan struktur modal. Stuktur modal perusahaan merupakan komposisi pendanaan yang diambil perusahaan yang menunjukan komposisi modal internal dan eksternal. Pendanaan yang diambil perusahaan ini dapat mempengaruhi nilai perusahaan (Modigliani&amp;</w:t>
      </w:r>
      <w:proofErr w:type="gramStart"/>
      <w:r w:rsidRPr="007F08FA">
        <w:t>Miller ;</w:t>
      </w:r>
      <w:proofErr w:type="gramEnd"/>
      <w:r w:rsidRPr="007F08FA">
        <w:t>1963, De Angelo&amp;Masulis ;1980 , Bradley et al ;1984 dan Park&amp;Evan ; 1996).</w:t>
      </w:r>
    </w:p>
    <w:p w:rsidR="008B2404" w:rsidRPr="007F08FA" w:rsidRDefault="008B2404" w:rsidP="007F08FA">
      <w:pPr>
        <w:widowControl w:val="0"/>
        <w:spacing w:after="0" w:line="360" w:lineRule="auto"/>
        <w:ind w:firstLine="720"/>
        <w:jc w:val="both"/>
        <w:rPr>
          <w:rFonts w:ascii="Times New Roman" w:hAnsi="Times New Roman"/>
          <w:lang w:val="id-ID"/>
        </w:rPr>
      </w:pPr>
      <w:r w:rsidRPr="007F08FA">
        <w:rPr>
          <w:rFonts w:ascii="Times New Roman" w:hAnsi="Times New Roman"/>
          <w:noProof/>
        </w:rPr>
        <w:lastRenderedPageBreak/>
        <w:drawing>
          <wp:inline distT="0" distB="0" distL="0" distR="0">
            <wp:extent cx="5486400" cy="11044124"/>
            <wp:effectExtent l="19050" t="0" r="0" b="0"/>
            <wp:docPr id="5" name="Picture 1" descr="ptba financial high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ba financial highlight"/>
                    <pic:cNvPicPr>
                      <a:picLocks noChangeAspect="1" noChangeArrowheads="1"/>
                    </pic:cNvPicPr>
                  </pic:nvPicPr>
                  <pic:blipFill>
                    <a:blip r:embed="rId9"/>
                    <a:srcRect/>
                    <a:stretch>
                      <a:fillRect/>
                    </a:stretch>
                  </pic:blipFill>
                  <pic:spPr bwMode="auto">
                    <a:xfrm>
                      <a:off x="0" y="0"/>
                      <a:ext cx="5486400" cy="11044124"/>
                    </a:xfrm>
                    <a:prstGeom prst="rect">
                      <a:avLst/>
                    </a:prstGeom>
                    <a:noFill/>
                    <a:ln w="9525">
                      <a:noFill/>
                      <a:miter lim="800000"/>
                      <a:headEnd/>
                      <a:tailEnd/>
                    </a:ln>
                  </pic:spPr>
                </pic:pic>
              </a:graphicData>
            </a:graphic>
          </wp:inline>
        </w:drawing>
      </w:r>
    </w:p>
    <w:p w:rsidR="008B2404" w:rsidRPr="007F08FA" w:rsidRDefault="008B2404" w:rsidP="007F08FA">
      <w:pPr>
        <w:widowControl w:val="0"/>
        <w:spacing w:after="0" w:line="360" w:lineRule="auto"/>
        <w:ind w:firstLine="720"/>
        <w:jc w:val="both"/>
        <w:rPr>
          <w:rFonts w:ascii="Times New Roman" w:hAnsi="Times New Roman"/>
          <w:lang w:val="id-ID"/>
        </w:rPr>
      </w:pPr>
      <w:r w:rsidRPr="007F08FA">
        <w:rPr>
          <w:rFonts w:ascii="Times New Roman" w:hAnsi="Times New Roman"/>
          <w:lang w:val="sv-SE"/>
        </w:rPr>
        <w:lastRenderedPageBreak/>
        <w:t xml:space="preserve">Apabila sumber pendanaan internal tidak mencukupi, maka perusahaan akan mengambil sumber pendanaan dari luar, salah satunya dari hutang. Apabila pendanaan didanai melalui hutang, maka akan terjadi efek </w:t>
      </w:r>
      <w:r w:rsidRPr="007F08FA">
        <w:rPr>
          <w:rFonts w:ascii="Times New Roman" w:hAnsi="Times New Roman"/>
          <w:i/>
          <w:lang w:val="sv-SE"/>
        </w:rPr>
        <w:t>tax deductible</w:t>
      </w:r>
      <w:r w:rsidRPr="007F08FA">
        <w:rPr>
          <w:rFonts w:ascii="Times New Roman" w:hAnsi="Times New Roman"/>
          <w:lang w:val="sv-SE"/>
        </w:rPr>
        <w:t xml:space="preserve">. Artinya, perusahaan yang memiliki hutang akan membayar bunga pinjaman yang dapat mengurangi penghasilan kena pajak, yang dapat memberi manfaat bagi pemegang saham. Pengurangan pajak ini akan menambah laba perusahaan dan dana tersebut dapat dipakai untuk investasi perusahaan di masa yang akan datang ataupun untuk membagikan dividen kepada para pemegang saham. Apabila hal tersebut dapat dilakukan oleh perusahaan, maka penilaian investor terhadap perusahaan akan meningkat. Sehingga pendanaan memiliki pengaruh terhadap nilai perusahaan. </w:t>
      </w:r>
    </w:p>
    <w:p w:rsidR="008B2404" w:rsidRPr="007F08FA" w:rsidRDefault="008B2404" w:rsidP="007F08FA">
      <w:pPr>
        <w:widowControl w:val="0"/>
        <w:spacing w:after="0" w:line="360" w:lineRule="auto"/>
        <w:ind w:firstLine="720"/>
        <w:jc w:val="both"/>
        <w:rPr>
          <w:rFonts w:ascii="Times New Roman" w:hAnsi="Times New Roman"/>
        </w:rPr>
      </w:pPr>
      <w:r w:rsidRPr="007F08FA">
        <w:rPr>
          <w:rFonts w:ascii="Times New Roman" w:hAnsi="Times New Roman"/>
        </w:rPr>
        <w:t xml:space="preserve">Setelah perusahaan mencoba untuk medapatkan </w:t>
      </w:r>
      <w:proofErr w:type="gramStart"/>
      <w:r w:rsidRPr="007F08FA">
        <w:rPr>
          <w:rFonts w:ascii="Times New Roman" w:hAnsi="Times New Roman"/>
        </w:rPr>
        <w:t>dana</w:t>
      </w:r>
      <w:proofErr w:type="gramEnd"/>
      <w:r w:rsidRPr="007F08FA">
        <w:rPr>
          <w:rFonts w:ascii="Times New Roman" w:hAnsi="Times New Roman"/>
        </w:rPr>
        <w:t xml:space="preserve">, maka dana tersebut akan dipergunakan sebaik-baiknya untuk mendapatkan kentungan di masa yang akan datang. Kegiatan investasi yang dilakukan perusahaan </w:t>
      </w:r>
      <w:proofErr w:type="gramStart"/>
      <w:r w:rsidRPr="007F08FA">
        <w:rPr>
          <w:rFonts w:ascii="Times New Roman" w:hAnsi="Times New Roman"/>
        </w:rPr>
        <w:t>akan</w:t>
      </w:r>
      <w:proofErr w:type="gramEnd"/>
      <w:r w:rsidRPr="007F08FA">
        <w:rPr>
          <w:rFonts w:ascii="Times New Roman" w:hAnsi="Times New Roman"/>
        </w:rPr>
        <w:t xml:space="preserve"> menentukan keuntungan yang akan diperoleh perusahaan dan kinerja perusahaan di masa yang akan datang. Apabila perusahaan salah di dalam pemilihan investasi, maka kelangsungan hidup perusahaan </w:t>
      </w:r>
      <w:proofErr w:type="gramStart"/>
      <w:r w:rsidRPr="007F08FA">
        <w:rPr>
          <w:rFonts w:ascii="Times New Roman" w:hAnsi="Times New Roman"/>
        </w:rPr>
        <w:t>akan</w:t>
      </w:r>
      <w:proofErr w:type="gramEnd"/>
      <w:r w:rsidRPr="007F08FA">
        <w:rPr>
          <w:rFonts w:ascii="Times New Roman" w:hAnsi="Times New Roman"/>
        </w:rPr>
        <w:t xml:space="preserve"> terganggu dan hal ini tentunya akan mempengaruhi penilaian investor terhadap perusahaan. </w:t>
      </w:r>
    </w:p>
    <w:p w:rsidR="008B2404" w:rsidRPr="007F08FA" w:rsidRDefault="008B2404" w:rsidP="007F08FA">
      <w:pPr>
        <w:spacing w:after="0" w:line="360" w:lineRule="auto"/>
        <w:ind w:firstLine="720"/>
        <w:jc w:val="both"/>
        <w:rPr>
          <w:rFonts w:ascii="Times New Roman" w:hAnsi="Times New Roman"/>
          <w:lang w:val="sv-SE"/>
        </w:rPr>
      </w:pPr>
      <w:r w:rsidRPr="007F08FA">
        <w:rPr>
          <w:rFonts w:ascii="Times New Roman" w:hAnsi="Times New Roman"/>
          <w:lang w:val="sv-SE"/>
        </w:rPr>
        <w:t>Semakin besar dana yang dimili</w:t>
      </w:r>
      <w:r w:rsidR="007F08FA">
        <w:rPr>
          <w:rFonts w:ascii="Times New Roman" w:hAnsi="Times New Roman"/>
          <w:lang w:val="id-ID"/>
        </w:rPr>
        <w:t>ki</w:t>
      </w:r>
      <w:r w:rsidRPr="007F08FA">
        <w:rPr>
          <w:rFonts w:ascii="Times New Roman" w:hAnsi="Times New Roman"/>
          <w:lang w:val="sv-SE"/>
        </w:rPr>
        <w:t xml:space="preserve"> oleh perusahaan, maka semakin besar kesempatan investasi yang bisas dilakukan oleh perusahaan. Pendanaan dalam penelitian ini merupakan pendanaan dari luar (hutang). Semakin besar hutang yang dimiliki perusahaan, akan semakin besar dana yang dimiliki oleh perusahaan. Namun di sisi lain, penambahan hutang akan menambah beban bunga perusahaan. Beban bunga ini akan mengurangi beban pajak yang ditanggung oleh perusahaan sebagai efek dari</w:t>
      </w:r>
      <w:r w:rsidRPr="007F08FA">
        <w:rPr>
          <w:rFonts w:ascii="Times New Roman" w:hAnsi="Times New Roman"/>
          <w:i/>
          <w:lang w:val="sv-SE"/>
        </w:rPr>
        <w:t xml:space="preserve"> tax deductible</w:t>
      </w:r>
      <w:r w:rsidRPr="007F08FA">
        <w:rPr>
          <w:rFonts w:ascii="Times New Roman" w:hAnsi="Times New Roman"/>
          <w:lang w:val="sv-SE"/>
        </w:rPr>
        <w:t xml:space="preserve">. </w:t>
      </w:r>
    </w:p>
    <w:p w:rsidR="008B2404" w:rsidRPr="007F08FA" w:rsidRDefault="008B2404" w:rsidP="007F08FA">
      <w:pPr>
        <w:spacing w:after="0" w:line="360" w:lineRule="auto"/>
        <w:ind w:firstLine="720"/>
        <w:jc w:val="both"/>
        <w:rPr>
          <w:rFonts w:ascii="Times New Roman" w:hAnsi="Times New Roman"/>
          <w:lang w:val="sv-SE"/>
        </w:rPr>
      </w:pPr>
      <w:r w:rsidRPr="007F08FA">
        <w:rPr>
          <w:rFonts w:ascii="Times New Roman" w:hAnsi="Times New Roman"/>
          <w:lang w:val="sv-SE"/>
        </w:rPr>
        <w:t xml:space="preserve">Temuan ini menjelaskan bahwa perusahaan yang memiliki kemampuan laba yang lebih baik akan lebih banyak menggunakan dana internal. Semakin besar dana yang dapat diperoleh perusahaan dari hutang, akan semakin besar kemungkinan para pemegang saham mendapatkan keuntungan dari dividen. Para pemilik perusahaan cenderung menyukai perusahaan menambah pendanaan eksternalnya karena hal tersebut dapat menambah penghasilan mereka sehingga dapat meningkatkan kesejahteraan para pemilik perusahaan. </w:t>
      </w:r>
    </w:p>
    <w:p w:rsidR="008B2404" w:rsidRPr="007F08FA" w:rsidRDefault="008B2404" w:rsidP="007F08FA">
      <w:pPr>
        <w:tabs>
          <w:tab w:val="left" w:pos="180"/>
        </w:tabs>
        <w:spacing w:after="0" w:line="360" w:lineRule="auto"/>
        <w:jc w:val="both"/>
        <w:rPr>
          <w:rFonts w:ascii="Times New Roman" w:hAnsi="Times New Roman"/>
          <w:lang w:val="sv-SE"/>
        </w:rPr>
      </w:pPr>
      <w:r w:rsidRPr="007F08FA">
        <w:rPr>
          <w:rFonts w:ascii="Times New Roman" w:hAnsi="Times New Roman"/>
          <w:lang w:val="sv-SE"/>
        </w:rPr>
        <w:lastRenderedPageBreak/>
        <w:tab/>
        <w:t>Salah satu persamaan antara kebijakan dividen dan keputusan investasi adalah bahwa keduanya sama-sama bersumber dari laba perusahaan. Laba perusahaan akan dipergunakan untuk membayar dividen kepada para pemegang saham dan sisanya akan ditahan sebagai laba ditahan (</w:t>
      </w:r>
      <w:r w:rsidRPr="007F08FA">
        <w:rPr>
          <w:rFonts w:ascii="Times New Roman" w:hAnsi="Times New Roman"/>
          <w:i/>
          <w:lang w:val="sv-SE"/>
        </w:rPr>
        <w:t>retained earnings</w:t>
      </w:r>
      <w:r w:rsidRPr="007F08FA">
        <w:rPr>
          <w:rFonts w:ascii="Times New Roman" w:hAnsi="Times New Roman"/>
          <w:lang w:val="sv-SE"/>
        </w:rPr>
        <w:t>) yang akan digunakan untuk investasi perusahaan guna pertumbuhan di masa yang akan datang. Sehingga, semakin tinggi dana perusahaan dipakai untuk investasi, maka akan semakin kecil pendapatan yang akan diterima para pemegang saham sebagai dividen, begitupun sebaliknya.</w:t>
      </w:r>
    </w:p>
    <w:p w:rsidR="00D11A5E" w:rsidRPr="00D11A5E" w:rsidRDefault="007F08FA" w:rsidP="00D11A5E">
      <w:pPr>
        <w:tabs>
          <w:tab w:val="left" w:pos="180"/>
        </w:tabs>
        <w:spacing w:after="0" w:line="360" w:lineRule="auto"/>
        <w:jc w:val="both"/>
        <w:rPr>
          <w:rFonts w:ascii="Times New Roman" w:hAnsi="Times New Roman"/>
          <w:lang w:val="sv-SE"/>
        </w:rPr>
      </w:pPr>
      <w:r>
        <w:rPr>
          <w:rFonts w:ascii="Times New Roman" w:hAnsi="Times New Roman"/>
          <w:lang w:val="sv-SE"/>
        </w:rPr>
        <w:tab/>
      </w:r>
      <w:r>
        <w:rPr>
          <w:rFonts w:ascii="Times New Roman" w:hAnsi="Times New Roman"/>
          <w:lang w:val="sv-SE"/>
        </w:rPr>
        <w:tab/>
      </w:r>
      <w:r w:rsidR="008B2404" w:rsidRPr="007F08FA">
        <w:rPr>
          <w:rFonts w:ascii="Times New Roman" w:hAnsi="Times New Roman"/>
          <w:lang w:val="sv-SE"/>
        </w:rPr>
        <w:t xml:space="preserve">Semakin besar jumlah investasi dalam satu periode tertentu, semakin kecil dividen yang diberikan, karena perusahaan yang tumbuh diidentifikasi sebagai perusahaan yang </w:t>
      </w:r>
      <w:r w:rsidR="008B2404" w:rsidRPr="007F08FA">
        <w:rPr>
          <w:rFonts w:ascii="Times New Roman" w:hAnsi="Times New Roman"/>
          <w:i/>
          <w:iCs/>
          <w:lang w:val="sv-SE"/>
        </w:rPr>
        <w:t>free cash flow-</w:t>
      </w:r>
      <w:r w:rsidR="008B2404" w:rsidRPr="007F08FA">
        <w:rPr>
          <w:rFonts w:ascii="Times New Roman" w:hAnsi="Times New Roman"/>
          <w:lang w:val="sv-SE"/>
        </w:rPr>
        <w:t xml:space="preserve">nya rendah. </w:t>
      </w:r>
      <w:r w:rsidR="00D11A5E">
        <w:rPr>
          <w:rFonts w:ascii="Times New Roman" w:hAnsi="Times New Roman"/>
          <w:lang w:val="id-ID"/>
        </w:rPr>
        <w:t>P</w:t>
      </w:r>
      <w:r w:rsidR="008B2404" w:rsidRPr="007F08FA">
        <w:rPr>
          <w:rFonts w:ascii="Times New Roman" w:hAnsi="Times New Roman"/>
          <w:lang w:val="sv-SE"/>
        </w:rPr>
        <w:t>erusahaan yang memiliki peluang investasi akan lebih memilih pendanaan internal daripada eksternal, karena pendanaan internal lebih murah. Akibatnya, kebijakan dividen lebih menekankan pada pembayaran dividen yang kecil. Berbeda dengan teori di atas</w:t>
      </w:r>
      <w:r w:rsidR="008B2404" w:rsidRPr="007F08FA">
        <w:rPr>
          <w:rFonts w:ascii="Times New Roman" w:hAnsi="Times New Roman"/>
          <w:i/>
          <w:iCs/>
          <w:lang w:val="sv-SE"/>
        </w:rPr>
        <w:t>,</w:t>
      </w:r>
      <w:r w:rsidR="008B2404" w:rsidRPr="007F08FA">
        <w:rPr>
          <w:rFonts w:ascii="Times New Roman" w:hAnsi="Times New Roman"/>
          <w:lang w:val="sv-SE"/>
        </w:rPr>
        <w:t xml:space="preserve"> </w:t>
      </w:r>
      <w:r w:rsidR="008B2404" w:rsidRPr="007F08FA">
        <w:rPr>
          <w:rFonts w:ascii="Times New Roman" w:hAnsi="Times New Roman"/>
          <w:i/>
          <w:iCs/>
          <w:lang w:val="sv-SE"/>
        </w:rPr>
        <w:t>signaling theory</w:t>
      </w:r>
      <w:r w:rsidR="008B2404" w:rsidRPr="007F08FA">
        <w:rPr>
          <w:rFonts w:ascii="Times New Roman" w:hAnsi="Times New Roman"/>
          <w:lang w:val="sv-SE"/>
        </w:rPr>
        <w:t xml:space="preserve"> yang dikemukakan oleh Ross (1977), Bhattaccharya (1979), Aharony&amp;Swary (1980) dan Muller&amp;Rock (1995), menyatakan bahwa peningkatan dividen merupakan sebuah sinyal positif tentang pertumbuhan perusahaan di masa yang akan datang, karena meningkatnya dividen diartikan sebagai adanya keuntungan yang akan diperoleh di masa yang akan datang sebagai hasil yang diperoleh dari keputusan investasi yang diambil perusahan dengan NPV positif. Oleh sebab itu, adanya kesempatan investasi yang memberikan keuntungan yang tinggi bagi perusahaan tidak selalu diartikan dividen yang dibayarkan akan kecil atau tidak dibayarkan, tetapi dapat diartikan adanya prospek yang menjanjikan di masa yang akan datang untuk dapat membayar dividen yang lebih tinggi. </w:t>
      </w:r>
      <w:r w:rsidR="00D11A5E" w:rsidRPr="007F08FA">
        <w:rPr>
          <w:rFonts w:ascii="Times New Roman" w:hAnsi="Times New Roman"/>
        </w:rPr>
        <w:t xml:space="preserve">Fokus PTBA saat ini pertama, pada peningkatan kontrak perjanjian penjualan batu </w:t>
      </w:r>
      <w:proofErr w:type="gramStart"/>
      <w:r w:rsidR="00D11A5E" w:rsidRPr="007F08FA">
        <w:rPr>
          <w:rFonts w:ascii="Times New Roman" w:hAnsi="Times New Roman"/>
        </w:rPr>
        <w:t>bara</w:t>
      </w:r>
      <w:proofErr w:type="gramEnd"/>
      <w:r w:rsidR="00D11A5E" w:rsidRPr="007F08FA">
        <w:rPr>
          <w:rFonts w:ascii="Times New Roman" w:hAnsi="Times New Roman"/>
        </w:rPr>
        <w:t xml:space="preserve">. Kedua, anak usaha fokus pada penjualan listrik. Ketiga, ekspansi ke beberapa negara, dan keempat </w:t>
      </w:r>
      <w:proofErr w:type="gramStart"/>
      <w:r w:rsidR="00D11A5E" w:rsidRPr="007F08FA">
        <w:rPr>
          <w:rFonts w:ascii="Times New Roman" w:hAnsi="Times New Roman"/>
        </w:rPr>
        <w:t>akan</w:t>
      </w:r>
      <w:proofErr w:type="gramEnd"/>
      <w:r w:rsidR="00D11A5E" w:rsidRPr="007F08FA">
        <w:rPr>
          <w:rFonts w:ascii="Times New Roman" w:hAnsi="Times New Roman"/>
        </w:rPr>
        <w:t xml:space="preserve"> meningkatkan ekspor batu bara berkalori tinggi yang harganya relatif lebih stabil dibandingkan kalori rendah. Indonesia sendiri </w:t>
      </w:r>
      <w:proofErr w:type="gramStart"/>
      <w:r w:rsidR="00D11A5E" w:rsidRPr="007F08FA">
        <w:rPr>
          <w:rFonts w:ascii="Times New Roman" w:hAnsi="Times New Roman"/>
        </w:rPr>
        <w:t>akan</w:t>
      </w:r>
      <w:proofErr w:type="gramEnd"/>
      <w:r w:rsidR="00D11A5E" w:rsidRPr="007F08FA">
        <w:rPr>
          <w:rFonts w:ascii="Times New Roman" w:hAnsi="Times New Roman"/>
        </w:rPr>
        <w:t xml:space="preserve"> membatas ekspor batu bara kalori rendah untuk digunakan di dalam negeri.</w:t>
      </w:r>
    </w:p>
    <w:p w:rsidR="008B2404" w:rsidRPr="007F08FA" w:rsidRDefault="008B2404" w:rsidP="007F08FA">
      <w:pPr>
        <w:spacing w:after="0" w:line="360" w:lineRule="auto"/>
        <w:ind w:firstLine="720"/>
        <w:jc w:val="both"/>
        <w:rPr>
          <w:rFonts w:ascii="Times New Roman" w:hAnsi="Times New Roman"/>
          <w:lang w:val="sv-SE"/>
        </w:rPr>
      </w:pPr>
    </w:p>
    <w:p w:rsidR="00D11A5E" w:rsidRDefault="00D11A5E" w:rsidP="007F08FA">
      <w:pPr>
        <w:spacing w:after="0" w:line="360" w:lineRule="auto"/>
        <w:rPr>
          <w:rFonts w:ascii="Times New Roman" w:eastAsia="Times New Roman" w:hAnsi="Times New Roman"/>
          <w:szCs w:val="24"/>
          <w:lang w:val="id-ID" w:eastAsia="id-ID"/>
        </w:rPr>
      </w:pPr>
    </w:p>
    <w:p w:rsidR="00D11A5E" w:rsidRDefault="00D11A5E" w:rsidP="007F08FA">
      <w:pPr>
        <w:spacing w:after="0" w:line="360" w:lineRule="auto"/>
        <w:rPr>
          <w:rFonts w:ascii="Times New Roman" w:eastAsia="Times New Roman" w:hAnsi="Times New Roman"/>
          <w:szCs w:val="24"/>
          <w:lang w:val="id-ID" w:eastAsia="id-ID"/>
        </w:rPr>
      </w:pPr>
    </w:p>
    <w:p w:rsidR="008B2404" w:rsidRPr="0040272F" w:rsidRDefault="008B2404" w:rsidP="0040272F">
      <w:pPr>
        <w:spacing w:after="0" w:line="360" w:lineRule="auto"/>
        <w:rPr>
          <w:rFonts w:ascii="Times New Roman" w:hAnsi="Times New Roman"/>
          <w:b/>
          <w:bCs/>
          <w:w w:val="105"/>
          <w:szCs w:val="24"/>
          <w:lang w:val="id-ID"/>
        </w:rPr>
      </w:pPr>
    </w:p>
    <w:p w:rsidR="0040272F" w:rsidRPr="0040272F" w:rsidRDefault="0040272F" w:rsidP="0040272F">
      <w:pPr>
        <w:pStyle w:val="ListParagraph"/>
        <w:numPr>
          <w:ilvl w:val="0"/>
          <w:numId w:val="8"/>
        </w:numPr>
        <w:spacing w:before="288" w:line="189" w:lineRule="auto"/>
        <w:rPr>
          <w:rFonts w:ascii="Times New Roman" w:hAnsi="Times New Roman"/>
          <w:b/>
          <w:bCs/>
          <w:w w:val="105"/>
          <w:szCs w:val="24"/>
        </w:rPr>
      </w:pPr>
      <w:r>
        <w:rPr>
          <w:rFonts w:ascii="Times New Roman" w:hAnsi="Times New Roman"/>
          <w:b/>
          <w:bCs/>
          <w:w w:val="105"/>
          <w:szCs w:val="24"/>
        </w:rPr>
        <w:lastRenderedPageBreak/>
        <w:t>Simpulan &amp; Saran</w:t>
      </w:r>
    </w:p>
    <w:p w:rsidR="00D11A5E" w:rsidRDefault="00D11A5E" w:rsidP="00D11A5E">
      <w:pPr>
        <w:spacing w:after="0" w:line="360" w:lineRule="auto"/>
        <w:ind w:left="567"/>
        <w:rPr>
          <w:rFonts w:ascii="Times New Roman" w:hAnsi="Times New Roman"/>
          <w:lang w:val="id-ID"/>
        </w:rPr>
      </w:pPr>
      <w:r w:rsidRPr="00A85BA0">
        <w:rPr>
          <w:rFonts w:ascii="Times New Roman" w:hAnsi="Times New Roman"/>
          <w:lang w:val="id-ID"/>
        </w:rPr>
        <w:t xml:space="preserve">Dalam hal kepemilikan saham dengan jumlah tetap dari tahun ke tahun oleh pemerintah daerah </w:t>
      </w:r>
      <w:r w:rsidRPr="00A85BA0">
        <w:rPr>
          <w:rFonts w:ascii="Times New Roman" w:hAnsi="Times New Roman"/>
          <w:color w:val="000000" w:themeColor="text1"/>
          <w:szCs w:val="24"/>
          <w:lang w:val="id-ID"/>
        </w:rPr>
        <w:t>ini menunjukkan bahwa</w:t>
      </w:r>
      <w:r w:rsidRPr="00A85BA0">
        <w:rPr>
          <w:rFonts w:ascii="Times New Roman" w:hAnsi="Times New Roman"/>
        </w:rPr>
        <w:t xml:space="preserve"> pemerintah daerah untuk merencanakan dan mengatur pola pengembangan daerahnya. Untuk itu, pemerintah daerah dituntut untuk mampu merencanakan pengembangan daerahnya dengan baik. </w:t>
      </w:r>
    </w:p>
    <w:p w:rsidR="00D11A5E" w:rsidRPr="00D11A5E" w:rsidRDefault="00D11A5E" w:rsidP="00D11A5E">
      <w:pPr>
        <w:spacing w:after="0" w:line="360" w:lineRule="auto"/>
        <w:ind w:left="567" w:firstLine="720"/>
        <w:rPr>
          <w:rFonts w:ascii="Times New Roman" w:hAnsi="Times New Roman"/>
          <w:lang w:val="id-ID"/>
        </w:rPr>
      </w:pPr>
      <w:r w:rsidRPr="009131DA">
        <w:rPr>
          <w:rFonts w:ascii="Times New Roman" w:hAnsi="Times New Roman"/>
          <w:color w:val="000000" w:themeColor="text1"/>
          <w:szCs w:val="24"/>
          <w:lang w:val="id-ID"/>
        </w:rPr>
        <w:t xml:space="preserve">Data kepemilikan asing </w:t>
      </w:r>
      <w:r>
        <w:rPr>
          <w:rFonts w:ascii="Times New Roman" w:hAnsi="Times New Roman"/>
          <w:color w:val="000000" w:themeColor="text1"/>
          <w:szCs w:val="24"/>
          <w:lang w:val="id-ID"/>
        </w:rPr>
        <w:t xml:space="preserve">total </w:t>
      </w:r>
      <w:r w:rsidRPr="009131DA">
        <w:rPr>
          <w:rFonts w:ascii="Times New Roman" w:hAnsi="Times New Roman"/>
          <w:color w:val="000000" w:themeColor="text1"/>
          <w:szCs w:val="24"/>
          <w:lang w:val="id-ID"/>
        </w:rPr>
        <w:t xml:space="preserve">semakin meningkat </w:t>
      </w:r>
      <w:r>
        <w:rPr>
          <w:rFonts w:ascii="Times New Roman" w:hAnsi="Times New Roman"/>
          <w:color w:val="000000" w:themeColor="text1"/>
          <w:szCs w:val="24"/>
          <w:lang w:val="id-ID"/>
        </w:rPr>
        <w:t xml:space="preserve">dibandingkan kepemilikan dalam negeri. Kepemilikan asing yang meningkat tersebut terjadi pada </w:t>
      </w:r>
      <w:r w:rsidRPr="009131DA">
        <w:rPr>
          <w:rFonts w:ascii="Times New Roman" w:hAnsi="Times New Roman"/>
          <w:color w:val="000000" w:themeColor="text1"/>
          <w:szCs w:val="24"/>
          <w:lang w:val="id-ID"/>
        </w:rPr>
        <w:t>kepemilikan dengan tipe peror</w:t>
      </w:r>
      <w:r w:rsidRPr="00A85BA0">
        <w:rPr>
          <w:rFonts w:ascii="Times New Roman" w:hAnsi="Times New Roman"/>
          <w:color w:val="000000" w:themeColor="text1"/>
          <w:szCs w:val="24"/>
          <w:lang w:val="id-ID"/>
        </w:rPr>
        <w:t>angan maupun dengan tipe badan usaha asing. Hal ini membuktikan bahwa sektor industri pertambangan sangat menarik bagi pemodal asing</w:t>
      </w:r>
      <w:r>
        <w:rPr>
          <w:rFonts w:ascii="Times New Roman" w:hAnsi="Times New Roman"/>
          <w:color w:val="000000" w:themeColor="text1"/>
          <w:szCs w:val="24"/>
          <w:lang w:val="id-ID"/>
        </w:rPr>
        <w:t>.</w:t>
      </w:r>
    </w:p>
    <w:p w:rsidR="00D11A5E" w:rsidRPr="00D11A5E" w:rsidRDefault="00D11A5E" w:rsidP="00D11A5E">
      <w:pPr>
        <w:spacing w:after="0" w:line="360" w:lineRule="auto"/>
        <w:ind w:left="720" w:firstLine="720"/>
        <w:rPr>
          <w:rFonts w:ascii="Times New Roman" w:hAnsi="Times New Roman"/>
          <w:color w:val="000000" w:themeColor="text1"/>
          <w:szCs w:val="24"/>
          <w:lang w:val="id-ID"/>
        </w:rPr>
      </w:pPr>
      <w:r w:rsidRPr="00A85BA0">
        <w:rPr>
          <w:rFonts w:ascii="Times New Roman" w:hAnsi="Times New Roman"/>
          <w:lang w:val="id-ID"/>
        </w:rPr>
        <w:t>Data kepemilikan menunjukkan bahwa dengan tipe institusional PT Bukit Asam jauh lebih besar dibandingkan tipe perorangan. Hal ini berlaku baik dari pemodal dalam negeri maupun pemodal asing. Alasan yang berkaitan dengan tingkat kepemilikan  saham dengan jumlah yang besar bagi tipe kepemilikan institusional boleh jadi dipengaruhi alasan ini, yaitu p</w:t>
      </w:r>
      <w:r w:rsidRPr="00A85BA0">
        <w:rPr>
          <w:rFonts w:ascii="Times New Roman" w:hAnsi="Times New Roman"/>
          <w:lang w:val="fi-FI"/>
        </w:rPr>
        <w:t>emegang saham institusional memiliki dorongan untuk memonitor dan mempengaruhi manajemen untuk melindungi investasi mereka yang signifikan</w:t>
      </w:r>
      <w:r w:rsidRPr="00A85BA0">
        <w:rPr>
          <w:rFonts w:ascii="Times New Roman" w:hAnsi="Times New Roman"/>
          <w:lang w:val="id-ID"/>
        </w:rPr>
        <w:t>.</w:t>
      </w:r>
    </w:p>
    <w:p w:rsidR="002F7848" w:rsidRDefault="002F7848" w:rsidP="007110F2">
      <w:pPr>
        <w:autoSpaceDE w:val="0"/>
        <w:autoSpaceDN w:val="0"/>
        <w:adjustRightInd w:val="0"/>
        <w:spacing w:after="0" w:line="360" w:lineRule="auto"/>
        <w:rPr>
          <w:rFonts w:ascii="Times New Roman" w:hAnsi="Times New Roman"/>
          <w:color w:val="000000" w:themeColor="text1"/>
          <w:szCs w:val="24"/>
          <w:lang w:val="id-ID"/>
        </w:rPr>
      </w:pPr>
    </w:p>
    <w:p w:rsidR="00887A01" w:rsidRPr="007110F2" w:rsidRDefault="00887A01" w:rsidP="007110F2">
      <w:pPr>
        <w:autoSpaceDE w:val="0"/>
        <w:autoSpaceDN w:val="0"/>
        <w:adjustRightInd w:val="0"/>
        <w:spacing w:after="0" w:line="360" w:lineRule="auto"/>
        <w:rPr>
          <w:rFonts w:ascii="Times New Roman" w:hAnsi="Times New Roman"/>
          <w:color w:val="000000" w:themeColor="text1"/>
          <w:szCs w:val="24"/>
          <w:lang w:val="id-ID"/>
        </w:rPr>
      </w:pPr>
    </w:p>
    <w:p w:rsidR="002F7848" w:rsidRPr="00D554AD" w:rsidRDefault="002F7848" w:rsidP="00887A01">
      <w:pPr>
        <w:autoSpaceDE w:val="0"/>
        <w:autoSpaceDN w:val="0"/>
        <w:adjustRightInd w:val="0"/>
        <w:spacing w:after="0" w:line="360" w:lineRule="auto"/>
        <w:jc w:val="center"/>
        <w:rPr>
          <w:rFonts w:ascii="Times New Roman" w:hAnsi="Times New Roman"/>
          <w:b/>
          <w:szCs w:val="24"/>
          <w:lang w:val="id-ID"/>
        </w:rPr>
      </w:pPr>
      <w:r w:rsidRPr="00D554AD">
        <w:rPr>
          <w:rFonts w:ascii="Times New Roman" w:hAnsi="Times New Roman"/>
          <w:b/>
          <w:szCs w:val="24"/>
          <w:lang w:val="id-ID"/>
        </w:rPr>
        <w:t>Daftar Pustaka</w:t>
      </w:r>
    </w:p>
    <w:p w:rsidR="009F3E2D" w:rsidRPr="009F3E2D" w:rsidRDefault="009F3E2D" w:rsidP="009F3E2D">
      <w:pPr>
        <w:spacing w:after="0" w:line="240" w:lineRule="auto"/>
        <w:ind w:left="936" w:right="144" w:hanging="864"/>
        <w:jc w:val="both"/>
        <w:rPr>
          <w:rFonts w:ascii="Times New Roman" w:hAnsi="Times New Roman"/>
          <w:w w:val="105"/>
          <w:szCs w:val="24"/>
        </w:rPr>
      </w:pPr>
      <w:r w:rsidRPr="009F3E2D">
        <w:rPr>
          <w:rFonts w:ascii="Times New Roman" w:hAnsi="Times New Roman"/>
          <w:spacing w:val="-6"/>
          <w:w w:val="105"/>
          <w:szCs w:val="24"/>
        </w:rPr>
        <w:t xml:space="preserve">Ang, Robbert. (1997). </w:t>
      </w:r>
      <w:r w:rsidRPr="009F3E2D">
        <w:rPr>
          <w:rFonts w:ascii="Times New Roman" w:hAnsi="Times New Roman"/>
          <w:b/>
          <w:bCs/>
          <w:spacing w:val="-6"/>
          <w:w w:val="105"/>
          <w:szCs w:val="24"/>
        </w:rPr>
        <w:t xml:space="preserve">“Buku Pintar: Pasar Modal Indonesia (The Intelligent </w:t>
      </w:r>
      <w:r w:rsidRPr="009F3E2D">
        <w:rPr>
          <w:rFonts w:ascii="Times New Roman" w:hAnsi="Times New Roman"/>
          <w:b/>
          <w:bCs/>
          <w:spacing w:val="-3"/>
          <w:w w:val="105"/>
          <w:szCs w:val="24"/>
        </w:rPr>
        <w:t>Guide to Indonesian Capital Market)”.</w:t>
      </w:r>
      <w:r w:rsidRPr="009F3E2D">
        <w:rPr>
          <w:rFonts w:ascii="Times New Roman" w:hAnsi="Times New Roman"/>
          <w:spacing w:val="-3"/>
          <w:w w:val="105"/>
          <w:szCs w:val="24"/>
        </w:rPr>
        <w:t xml:space="preserve"> Mediasoft Indonesia, First </w:t>
      </w:r>
      <w:r w:rsidRPr="009F3E2D">
        <w:rPr>
          <w:rFonts w:ascii="Times New Roman" w:hAnsi="Times New Roman"/>
          <w:w w:val="105"/>
          <w:szCs w:val="24"/>
        </w:rPr>
        <w:t>Edition.</w:t>
      </w:r>
    </w:p>
    <w:p w:rsidR="009F3E2D" w:rsidRPr="009F3E2D" w:rsidRDefault="009F3E2D" w:rsidP="009F3E2D">
      <w:pPr>
        <w:spacing w:after="0" w:line="240" w:lineRule="auto"/>
        <w:ind w:left="936" w:right="144" w:hanging="864"/>
        <w:rPr>
          <w:rFonts w:ascii="Times New Roman" w:hAnsi="Times New Roman"/>
          <w:spacing w:val="-6"/>
          <w:w w:val="105"/>
          <w:szCs w:val="24"/>
        </w:rPr>
      </w:pPr>
      <w:r w:rsidRPr="009F3E2D">
        <w:rPr>
          <w:rFonts w:ascii="Times New Roman" w:hAnsi="Times New Roman"/>
          <w:spacing w:val="-2"/>
          <w:w w:val="105"/>
          <w:szCs w:val="24"/>
        </w:rPr>
        <w:t xml:space="preserve">Brigham, F. Eugene (1983). </w:t>
      </w:r>
      <w:r w:rsidRPr="009F3E2D">
        <w:rPr>
          <w:rFonts w:ascii="Times New Roman" w:hAnsi="Times New Roman"/>
          <w:b/>
          <w:bCs/>
          <w:i/>
          <w:iCs/>
          <w:spacing w:val="-2"/>
          <w:w w:val="105"/>
          <w:szCs w:val="24"/>
        </w:rPr>
        <w:t xml:space="preserve">“Fundamental of financial Management”. </w:t>
      </w:r>
      <w:r w:rsidRPr="009F3E2D">
        <w:rPr>
          <w:rFonts w:ascii="Times New Roman" w:hAnsi="Times New Roman"/>
          <w:i/>
          <w:iCs/>
          <w:spacing w:val="-2"/>
          <w:w w:val="105"/>
          <w:szCs w:val="24"/>
        </w:rPr>
        <w:t xml:space="preserve">The </w:t>
      </w:r>
      <w:r w:rsidRPr="009F3E2D">
        <w:rPr>
          <w:rFonts w:ascii="Times New Roman" w:hAnsi="Times New Roman"/>
          <w:i/>
          <w:iCs/>
          <w:spacing w:val="-6"/>
          <w:w w:val="105"/>
          <w:szCs w:val="24"/>
        </w:rPr>
        <w:t>Dryden Press: Holt-Sounders Japan</w:t>
      </w:r>
      <w:proofErr w:type="gramStart"/>
      <w:r w:rsidRPr="009F3E2D">
        <w:rPr>
          <w:rFonts w:ascii="Times New Roman" w:hAnsi="Times New Roman"/>
          <w:i/>
          <w:iCs/>
          <w:spacing w:val="-6"/>
          <w:w w:val="105"/>
          <w:szCs w:val="24"/>
        </w:rPr>
        <w:t>,Third</w:t>
      </w:r>
      <w:proofErr w:type="gramEnd"/>
      <w:r w:rsidRPr="009F3E2D">
        <w:rPr>
          <w:rFonts w:ascii="Times New Roman" w:hAnsi="Times New Roman"/>
          <w:i/>
          <w:iCs/>
          <w:spacing w:val="-6"/>
          <w:w w:val="105"/>
          <w:szCs w:val="24"/>
        </w:rPr>
        <w:t xml:space="preserve"> Edition.</w:t>
      </w:r>
    </w:p>
    <w:p w:rsidR="009F3E2D" w:rsidRPr="009F3E2D" w:rsidRDefault="009F3E2D" w:rsidP="009F3E2D">
      <w:pPr>
        <w:spacing w:after="0" w:line="240" w:lineRule="auto"/>
        <w:ind w:left="936" w:right="144" w:hanging="864"/>
        <w:jc w:val="both"/>
        <w:rPr>
          <w:rFonts w:ascii="Times New Roman" w:hAnsi="Times New Roman"/>
          <w:w w:val="105"/>
          <w:szCs w:val="24"/>
        </w:rPr>
      </w:pPr>
      <w:r w:rsidRPr="009F3E2D">
        <w:rPr>
          <w:rFonts w:ascii="Times New Roman" w:hAnsi="Times New Roman"/>
          <w:spacing w:val="-6"/>
          <w:w w:val="105"/>
          <w:szCs w:val="24"/>
        </w:rPr>
        <w:t xml:space="preserve">Bushman, Robert M. (2001). </w:t>
      </w:r>
      <w:r w:rsidRPr="009F3E2D">
        <w:rPr>
          <w:rFonts w:ascii="Times New Roman" w:hAnsi="Times New Roman"/>
          <w:i/>
          <w:iCs/>
          <w:spacing w:val="-6"/>
          <w:w w:val="105"/>
          <w:szCs w:val="24"/>
        </w:rPr>
        <w:t xml:space="preserve">“Financial Accounting Information and Corporate </w:t>
      </w:r>
      <w:r w:rsidRPr="009F3E2D">
        <w:rPr>
          <w:rFonts w:ascii="Times New Roman" w:hAnsi="Times New Roman"/>
          <w:i/>
          <w:iCs/>
          <w:spacing w:val="-4"/>
          <w:w w:val="105"/>
          <w:szCs w:val="24"/>
        </w:rPr>
        <w:t xml:space="preserve">Governance”. </w:t>
      </w:r>
      <w:r w:rsidRPr="009F3E2D">
        <w:rPr>
          <w:rFonts w:ascii="Times New Roman" w:hAnsi="Times New Roman"/>
          <w:b/>
          <w:bCs/>
          <w:i/>
          <w:iCs/>
          <w:spacing w:val="-4"/>
          <w:w w:val="105"/>
          <w:szCs w:val="24"/>
        </w:rPr>
        <w:t xml:space="preserve">Journal of Accounting &amp; Economics, </w:t>
      </w:r>
      <w:r w:rsidRPr="009F3E2D">
        <w:rPr>
          <w:rFonts w:ascii="Times New Roman" w:hAnsi="Times New Roman"/>
          <w:spacing w:val="-4"/>
          <w:w w:val="105"/>
          <w:szCs w:val="24"/>
        </w:rPr>
        <w:t xml:space="preserve">32 (2001): 237– </w:t>
      </w:r>
      <w:r w:rsidRPr="009F3E2D">
        <w:rPr>
          <w:rFonts w:ascii="Times New Roman" w:hAnsi="Times New Roman"/>
          <w:w w:val="105"/>
          <w:szCs w:val="24"/>
        </w:rPr>
        <w:t>333.</w:t>
      </w:r>
    </w:p>
    <w:p w:rsidR="009F3E2D" w:rsidRPr="009F3E2D" w:rsidRDefault="009F3E2D" w:rsidP="009F3E2D">
      <w:pPr>
        <w:spacing w:after="0" w:line="240" w:lineRule="auto"/>
        <w:ind w:left="936" w:right="144" w:hanging="864"/>
        <w:jc w:val="both"/>
        <w:rPr>
          <w:rFonts w:ascii="Times New Roman" w:hAnsi="Times New Roman"/>
          <w:spacing w:val="-4"/>
          <w:w w:val="105"/>
          <w:szCs w:val="24"/>
        </w:rPr>
      </w:pPr>
      <w:r w:rsidRPr="009F3E2D">
        <w:rPr>
          <w:rFonts w:ascii="Times New Roman" w:hAnsi="Times New Roman"/>
          <w:w w:val="105"/>
          <w:szCs w:val="24"/>
        </w:rPr>
        <w:t xml:space="preserve">Fitrijanti, Tettet dan Hartono, Jogiyanto. (2002). “Set Kesempatan Investasi: </w:t>
      </w:r>
      <w:r w:rsidRPr="009F3E2D">
        <w:rPr>
          <w:rFonts w:ascii="Times New Roman" w:hAnsi="Times New Roman"/>
          <w:spacing w:val="-6"/>
          <w:w w:val="105"/>
          <w:szCs w:val="24"/>
        </w:rPr>
        <w:t xml:space="preserve">Konstruksi dan Analisis Hubungannya dengan Kebijakan Pendanaan dan </w:t>
      </w:r>
      <w:r w:rsidRPr="009F3E2D">
        <w:rPr>
          <w:rFonts w:ascii="Times New Roman" w:hAnsi="Times New Roman"/>
          <w:spacing w:val="-4"/>
          <w:w w:val="105"/>
          <w:szCs w:val="24"/>
        </w:rPr>
        <w:t xml:space="preserve">Dividen”. </w:t>
      </w:r>
      <w:r w:rsidRPr="009F3E2D">
        <w:rPr>
          <w:rFonts w:ascii="Times New Roman" w:hAnsi="Times New Roman"/>
          <w:b/>
          <w:bCs/>
          <w:spacing w:val="-4"/>
          <w:w w:val="105"/>
          <w:szCs w:val="24"/>
        </w:rPr>
        <w:t>Jurnal Riset Akuntansi Indonesia,</w:t>
      </w:r>
      <w:r w:rsidRPr="009F3E2D">
        <w:rPr>
          <w:rFonts w:ascii="Times New Roman" w:hAnsi="Times New Roman"/>
          <w:spacing w:val="-4"/>
          <w:w w:val="105"/>
          <w:szCs w:val="24"/>
        </w:rPr>
        <w:t xml:space="preserve"> Vol. 5, No. 1: 35 – 63.</w:t>
      </w:r>
    </w:p>
    <w:p w:rsidR="009F3E2D" w:rsidRPr="009F3E2D" w:rsidRDefault="009F3E2D" w:rsidP="009F3E2D">
      <w:pPr>
        <w:spacing w:after="0" w:line="240" w:lineRule="auto"/>
        <w:ind w:left="936" w:right="144" w:hanging="864"/>
        <w:jc w:val="both"/>
        <w:rPr>
          <w:rFonts w:ascii="Times New Roman" w:hAnsi="Times New Roman"/>
          <w:spacing w:val="-4"/>
          <w:w w:val="105"/>
          <w:szCs w:val="24"/>
        </w:rPr>
      </w:pPr>
      <w:r w:rsidRPr="009F3E2D">
        <w:rPr>
          <w:rFonts w:ascii="Times New Roman" w:hAnsi="Times New Roman"/>
          <w:spacing w:val="2"/>
          <w:w w:val="105"/>
          <w:szCs w:val="24"/>
        </w:rPr>
        <w:t>Husnan, Suad. (2001). “</w:t>
      </w:r>
      <w:r w:rsidRPr="009F3E2D">
        <w:rPr>
          <w:rFonts w:ascii="Times New Roman" w:hAnsi="Times New Roman"/>
          <w:i/>
          <w:iCs/>
          <w:spacing w:val="2"/>
          <w:w w:val="105"/>
          <w:szCs w:val="24"/>
        </w:rPr>
        <w:t>Corporate Governance</w:t>
      </w:r>
      <w:r w:rsidRPr="009F3E2D">
        <w:rPr>
          <w:rFonts w:ascii="Times New Roman" w:hAnsi="Times New Roman"/>
          <w:spacing w:val="2"/>
          <w:w w:val="105"/>
          <w:szCs w:val="24"/>
        </w:rPr>
        <w:t xml:space="preserve"> dan Keputusan Pendanaan: </w:t>
      </w:r>
      <w:r w:rsidRPr="009F3E2D">
        <w:rPr>
          <w:rFonts w:ascii="Times New Roman" w:hAnsi="Times New Roman"/>
          <w:spacing w:val="-5"/>
          <w:w w:val="105"/>
          <w:szCs w:val="24"/>
        </w:rPr>
        <w:t xml:space="preserve">Perbandingan Kinerja Perusahaan dengan Pemegang Saham Pengendali </w:t>
      </w:r>
      <w:r w:rsidRPr="009F3E2D">
        <w:rPr>
          <w:rFonts w:ascii="Times New Roman" w:hAnsi="Times New Roman"/>
          <w:spacing w:val="1"/>
          <w:w w:val="105"/>
          <w:szCs w:val="24"/>
        </w:rPr>
        <w:t xml:space="preserve">Perusahaan Multinasional dan Bukan Multinasional”. </w:t>
      </w:r>
      <w:r w:rsidRPr="009F3E2D">
        <w:rPr>
          <w:rFonts w:ascii="Times New Roman" w:hAnsi="Times New Roman"/>
          <w:b/>
          <w:bCs/>
          <w:spacing w:val="1"/>
          <w:w w:val="105"/>
          <w:szCs w:val="24"/>
        </w:rPr>
        <w:t xml:space="preserve">Jurnal Riset </w:t>
      </w:r>
      <w:r w:rsidRPr="009F3E2D">
        <w:rPr>
          <w:rFonts w:ascii="Times New Roman" w:hAnsi="Times New Roman"/>
          <w:b/>
          <w:bCs/>
          <w:spacing w:val="-4"/>
          <w:w w:val="105"/>
          <w:szCs w:val="24"/>
        </w:rPr>
        <w:t xml:space="preserve">Akuntansi, Manajemen, Ekonomi, </w:t>
      </w:r>
      <w:r w:rsidRPr="009F3E2D">
        <w:rPr>
          <w:rFonts w:ascii="Times New Roman" w:hAnsi="Times New Roman"/>
          <w:spacing w:val="-4"/>
          <w:w w:val="105"/>
          <w:szCs w:val="24"/>
        </w:rPr>
        <w:t>Vol. 1 No.1, Februari: 1 – 12.</w:t>
      </w:r>
    </w:p>
    <w:p w:rsidR="009F3E2D" w:rsidRPr="009F3E2D" w:rsidRDefault="009F3E2D" w:rsidP="009F3E2D">
      <w:pPr>
        <w:spacing w:after="0" w:line="240" w:lineRule="auto"/>
        <w:ind w:left="936" w:right="144" w:hanging="864"/>
        <w:rPr>
          <w:rFonts w:ascii="Times New Roman" w:hAnsi="Times New Roman"/>
          <w:spacing w:val="-4"/>
          <w:w w:val="105"/>
          <w:szCs w:val="24"/>
        </w:rPr>
      </w:pPr>
      <w:r w:rsidRPr="009F3E2D">
        <w:rPr>
          <w:rFonts w:ascii="Times New Roman" w:hAnsi="Times New Roman"/>
          <w:spacing w:val="-5"/>
          <w:w w:val="105"/>
          <w:szCs w:val="24"/>
        </w:rPr>
        <w:t>Lambert, Richard A. (2001). “</w:t>
      </w:r>
      <w:r w:rsidRPr="009F3E2D">
        <w:rPr>
          <w:rFonts w:ascii="Times New Roman" w:hAnsi="Times New Roman"/>
          <w:i/>
          <w:iCs/>
          <w:spacing w:val="-5"/>
          <w:w w:val="105"/>
          <w:szCs w:val="24"/>
        </w:rPr>
        <w:t>Contracting Theory and Accounting</w:t>
      </w:r>
      <w:r w:rsidRPr="009F3E2D">
        <w:rPr>
          <w:rFonts w:ascii="Times New Roman" w:hAnsi="Times New Roman"/>
          <w:spacing w:val="-5"/>
          <w:w w:val="105"/>
          <w:szCs w:val="24"/>
        </w:rPr>
        <w:t xml:space="preserve">”. </w:t>
      </w:r>
      <w:r w:rsidRPr="009F3E2D">
        <w:rPr>
          <w:rFonts w:ascii="Times New Roman" w:hAnsi="Times New Roman"/>
          <w:b/>
          <w:bCs/>
          <w:i/>
          <w:iCs/>
          <w:spacing w:val="-5"/>
          <w:w w:val="105"/>
          <w:szCs w:val="24"/>
        </w:rPr>
        <w:t xml:space="preserve">Journal of </w:t>
      </w:r>
      <w:r w:rsidRPr="009F3E2D">
        <w:rPr>
          <w:rFonts w:ascii="Times New Roman" w:hAnsi="Times New Roman"/>
          <w:b/>
          <w:bCs/>
          <w:i/>
          <w:iCs/>
          <w:spacing w:val="-4"/>
          <w:w w:val="105"/>
          <w:szCs w:val="24"/>
        </w:rPr>
        <w:t xml:space="preserve">Accounting &amp; Economics, </w:t>
      </w:r>
      <w:r w:rsidRPr="009F3E2D">
        <w:rPr>
          <w:rFonts w:ascii="Times New Roman" w:hAnsi="Times New Roman"/>
          <w:spacing w:val="-4"/>
          <w:w w:val="105"/>
          <w:szCs w:val="24"/>
        </w:rPr>
        <w:t>32 (2001): 3– 87.</w:t>
      </w:r>
    </w:p>
    <w:p w:rsidR="009F3E2D" w:rsidRPr="009F3E2D" w:rsidRDefault="009F3E2D" w:rsidP="009F3E2D">
      <w:pPr>
        <w:spacing w:after="0" w:line="240" w:lineRule="auto"/>
        <w:ind w:left="936" w:right="144" w:hanging="864"/>
        <w:jc w:val="both"/>
        <w:rPr>
          <w:rFonts w:ascii="Times New Roman" w:hAnsi="Times New Roman"/>
          <w:spacing w:val="-4"/>
          <w:w w:val="105"/>
          <w:szCs w:val="24"/>
        </w:rPr>
      </w:pPr>
      <w:r w:rsidRPr="009F3E2D">
        <w:rPr>
          <w:rFonts w:ascii="Times New Roman" w:hAnsi="Times New Roman"/>
          <w:spacing w:val="8"/>
          <w:w w:val="105"/>
          <w:szCs w:val="24"/>
        </w:rPr>
        <w:t xml:space="preserve">Na’im, Ainun dan Rakhman, Fu’ad. (2000). “Analisis Hubungan antara </w:t>
      </w:r>
      <w:r w:rsidRPr="009F3E2D">
        <w:rPr>
          <w:rFonts w:ascii="Times New Roman" w:hAnsi="Times New Roman"/>
          <w:spacing w:val="-2"/>
          <w:w w:val="105"/>
          <w:szCs w:val="24"/>
        </w:rPr>
        <w:t xml:space="preserve">Kelengkapan Pengungkapan Laporan Keuangan dengan Struktur Modal </w:t>
      </w:r>
      <w:r w:rsidRPr="009F3E2D">
        <w:rPr>
          <w:rFonts w:ascii="Times New Roman" w:hAnsi="Times New Roman"/>
          <w:spacing w:val="2"/>
          <w:w w:val="105"/>
          <w:szCs w:val="24"/>
        </w:rPr>
        <w:lastRenderedPageBreak/>
        <w:t xml:space="preserve">dan Tipe Kepemilikan Perusahaan”. </w:t>
      </w:r>
      <w:r w:rsidRPr="009F3E2D">
        <w:rPr>
          <w:rFonts w:ascii="Times New Roman" w:hAnsi="Times New Roman"/>
          <w:b/>
          <w:bCs/>
          <w:spacing w:val="2"/>
          <w:w w:val="105"/>
          <w:szCs w:val="24"/>
        </w:rPr>
        <w:t xml:space="preserve">Jurnal Ekonomi dan Bisnis </w:t>
      </w:r>
      <w:r w:rsidRPr="009F3E2D">
        <w:rPr>
          <w:rFonts w:ascii="Times New Roman" w:hAnsi="Times New Roman"/>
          <w:b/>
          <w:bCs/>
          <w:spacing w:val="-4"/>
          <w:w w:val="105"/>
          <w:szCs w:val="24"/>
        </w:rPr>
        <w:t xml:space="preserve">Indonesia, </w:t>
      </w:r>
      <w:r w:rsidRPr="009F3E2D">
        <w:rPr>
          <w:rFonts w:ascii="Times New Roman" w:hAnsi="Times New Roman"/>
          <w:spacing w:val="-4"/>
          <w:w w:val="105"/>
          <w:szCs w:val="24"/>
        </w:rPr>
        <w:t>Vol. 15, No. 1: 70 – 82.</w:t>
      </w:r>
    </w:p>
    <w:p w:rsidR="00653D9F" w:rsidRDefault="00653D9F" w:rsidP="009F3E2D">
      <w:pPr>
        <w:autoSpaceDE w:val="0"/>
        <w:autoSpaceDN w:val="0"/>
        <w:adjustRightInd w:val="0"/>
        <w:spacing w:after="0" w:line="240" w:lineRule="auto"/>
        <w:ind w:left="567" w:hanging="567"/>
        <w:rPr>
          <w:rFonts w:ascii="Times New Roman" w:hAnsi="Times New Roman"/>
          <w:szCs w:val="24"/>
          <w:lang w:val="id-ID"/>
        </w:rPr>
      </w:pPr>
    </w:p>
    <w:p w:rsidR="009F3E2D" w:rsidRPr="009F3E2D" w:rsidRDefault="009F3E2D" w:rsidP="009F3E2D">
      <w:pPr>
        <w:autoSpaceDE w:val="0"/>
        <w:autoSpaceDN w:val="0"/>
        <w:adjustRightInd w:val="0"/>
        <w:spacing w:after="0" w:line="240" w:lineRule="auto"/>
        <w:ind w:left="567" w:hanging="567"/>
        <w:rPr>
          <w:rFonts w:ascii="Times New Roman" w:hAnsi="Times New Roman"/>
          <w:szCs w:val="24"/>
          <w:lang w:val="id-ID"/>
        </w:rPr>
      </w:pPr>
      <w:r w:rsidRPr="009F3E2D">
        <w:rPr>
          <w:rFonts w:ascii="Times New Roman" w:hAnsi="Times New Roman"/>
          <w:szCs w:val="24"/>
          <w:lang w:val="id-ID"/>
        </w:rPr>
        <w:t>Peraturan Pemerintah Nomor 23 Tahun 2010 tentang Pelaksanaan Kegiatan Usaha Pertambangan Mineral dan Batubara (Lembaran Negara Republik Indonesia Tahun 2010 Nomor 29, Tambahan Lembaran Negara Republik Indonesia Nomor 5111)</w:t>
      </w:r>
      <w:r w:rsidRPr="009F3E2D">
        <w:rPr>
          <w:rFonts w:ascii="Times New Roman" w:hAnsi="Times New Roman"/>
          <w:szCs w:val="24"/>
        </w:rPr>
        <w:t xml:space="preserve"> sebagaimana diubah dengan Peraturan Pemerintah Nomor 24 Tahun 2012 tentang Perubahan Atas </w:t>
      </w:r>
      <w:r w:rsidRPr="009F3E2D">
        <w:rPr>
          <w:rFonts w:ascii="Times New Roman" w:hAnsi="Times New Roman"/>
          <w:szCs w:val="24"/>
          <w:lang w:val="id-ID"/>
        </w:rPr>
        <w:t>Peraturan Pemerintah Nomor 23 Tahun 2010 tentang Pelaksanaan Kegiatan Usaha Pertambangan Mineral dan Batubara(Lembaran Negara Republik Indonesia Tahun 201</w:t>
      </w:r>
      <w:r w:rsidRPr="009F3E2D">
        <w:rPr>
          <w:rFonts w:ascii="Times New Roman" w:hAnsi="Times New Roman"/>
          <w:szCs w:val="24"/>
        </w:rPr>
        <w:t>2</w:t>
      </w:r>
      <w:r w:rsidRPr="009F3E2D">
        <w:rPr>
          <w:rFonts w:ascii="Times New Roman" w:hAnsi="Times New Roman"/>
          <w:szCs w:val="24"/>
          <w:lang w:val="id-ID"/>
        </w:rPr>
        <w:t xml:space="preserve"> Nomor </w:t>
      </w:r>
      <w:r w:rsidRPr="009F3E2D">
        <w:rPr>
          <w:rFonts w:ascii="Times New Roman" w:hAnsi="Times New Roman"/>
          <w:szCs w:val="24"/>
        </w:rPr>
        <w:t>45</w:t>
      </w:r>
      <w:r w:rsidRPr="009F3E2D">
        <w:rPr>
          <w:rFonts w:ascii="Times New Roman" w:hAnsi="Times New Roman"/>
          <w:szCs w:val="24"/>
          <w:lang w:val="id-ID"/>
        </w:rPr>
        <w:t>, Tambahan Lembaran Negara Republik Indonesia Nomor 5</w:t>
      </w:r>
      <w:r w:rsidRPr="009F3E2D">
        <w:rPr>
          <w:rFonts w:ascii="Times New Roman" w:hAnsi="Times New Roman"/>
          <w:szCs w:val="24"/>
        </w:rPr>
        <w:t>282</w:t>
      </w:r>
      <w:r w:rsidRPr="009F3E2D">
        <w:rPr>
          <w:rFonts w:ascii="Times New Roman" w:hAnsi="Times New Roman"/>
          <w:szCs w:val="24"/>
          <w:lang w:val="id-ID"/>
        </w:rPr>
        <w:t>)</w:t>
      </w:r>
      <w:r w:rsidRPr="009F3E2D">
        <w:rPr>
          <w:rFonts w:ascii="Times New Roman" w:hAnsi="Times New Roman"/>
          <w:szCs w:val="24"/>
        </w:rPr>
        <w:t>;</w:t>
      </w:r>
    </w:p>
    <w:p w:rsidR="009F3E2D" w:rsidRPr="009F3E2D" w:rsidRDefault="009F3E2D" w:rsidP="009F3E2D">
      <w:pPr>
        <w:suppressAutoHyphens/>
        <w:spacing w:after="0" w:line="240" w:lineRule="auto"/>
        <w:jc w:val="both"/>
        <w:rPr>
          <w:rFonts w:ascii="Times New Roman" w:hAnsi="Times New Roman"/>
          <w:szCs w:val="24"/>
          <w:lang w:val="sv-SE"/>
        </w:rPr>
      </w:pPr>
      <w:r w:rsidRPr="009F3E2D">
        <w:rPr>
          <w:rFonts w:ascii="Times New Roman" w:hAnsi="Times New Roman"/>
          <w:szCs w:val="24"/>
          <w:lang w:val="id-ID"/>
        </w:rPr>
        <w:t>PT BA. Laporan Tahunan 2009</w:t>
      </w:r>
    </w:p>
    <w:p w:rsidR="009F3E2D" w:rsidRPr="009F3E2D" w:rsidRDefault="009F3E2D" w:rsidP="009F3E2D">
      <w:pPr>
        <w:suppressAutoHyphens/>
        <w:spacing w:after="0" w:line="240" w:lineRule="auto"/>
        <w:jc w:val="both"/>
        <w:rPr>
          <w:rFonts w:ascii="Times New Roman" w:hAnsi="Times New Roman"/>
          <w:szCs w:val="24"/>
          <w:lang w:val="id-ID"/>
        </w:rPr>
      </w:pPr>
      <w:r w:rsidRPr="009F3E2D">
        <w:rPr>
          <w:rFonts w:ascii="Times New Roman" w:hAnsi="Times New Roman"/>
          <w:szCs w:val="24"/>
          <w:lang w:val="id-ID"/>
        </w:rPr>
        <w:t>PT BA. Laporan Tahunan 2010.</w:t>
      </w:r>
    </w:p>
    <w:p w:rsidR="009F3E2D" w:rsidRPr="009F3E2D" w:rsidRDefault="009F3E2D" w:rsidP="009F3E2D">
      <w:pPr>
        <w:suppressAutoHyphens/>
        <w:spacing w:after="0" w:line="240" w:lineRule="auto"/>
        <w:jc w:val="both"/>
        <w:rPr>
          <w:rFonts w:ascii="Times New Roman" w:hAnsi="Times New Roman"/>
          <w:szCs w:val="24"/>
          <w:lang w:val="id-ID"/>
        </w:rPr>
      </w:pPr>
      <w:r w:rsidRPr="009F3E2D">
        <w:rPr>
          <w:rFonts w:ascii="Times New Roman" w:hAnsi="Times New Roman"/>
          <w:szCs w:val="24"/>
          <w:lang w:val="id-ID"/>
        </w:rPr>
        <w:t>PT BA. Laporan Tahunan 2011.</w:t>
      </w:r>
    </w:p>
    <w:p w:rsidR="009F3E2D" w:rsidRPr="009F3E2D" w:rsidRDefault="009F3E2D" w:rsidP="009F3E2D">
      <w:pPr>
        <w:suppressAutoHyphens/>
        <w:spacing w:after="0" w:line="240" w:lineRule="auto"/>
        <w:jc w:val="both"/>
        <w:rPr>
          <w:rFonts w:ascii="Times New Roman" w:hAnsi="Times New Roman"/>
          <w:szCs w:val="24"/>
          <w:lang w:val="id-ID"/>
        </w:rPr>
      </w:pPr>
      <w:r w:rsidRPr="009F3E2D">
        <w:rPr>
          <w:rFonts w:ascii="Times New Roman" w:hAnsi="Times New Roman"/>
          <w:szCs w:val="24"/>
          <w:lang w:val="id-ID"/>
        </w:rPr>
        <w:t>PT BA. Laporan Tahunan 2012.</w:t>
      </w:r>
    </w:p>
    <w:p w:rsidR="00653D9F" w:rsidRDefault="00653D9F" w:rsidP="009F3E2D">
      <w:pPr>
        <w:spacing w:after="0" w:line="240" w:lineRule="auto"/>
        <w:ind w:left="936" w:right="144" w:hanging="864"/>
        <w:jc w:val="both"/>
        <w:rPr>
          <w:rFonts w:ascii="Times New Roman" w:hAnsi="Times New Roman"/>
          <w:spacing w:val="-7"/>
          <w:w w:val="105"/>
          <w:szCs w:val="24"/>
          <w:lang w:val="id-ID"/>
        </w:rPr>
      </w:pPr>
    </w:p>
    <w:p w:rsidR="009F3E2D" w:rsidRPr="009F3E2D" w:rsidRDefault="009F3E2D" w:rsidP="009F3E2D">
      <w:pPr>
        <w:spacing w:after="0" w:line="240" w:lineRule="auto"/>
        <w:ind w:left="936" w:right="144" w:hanging="864"/>
        <w:jc w:val="both"/>
        <w:rPr>
          <w:rFonts w:ascii="Times New Roman" w:hAnsi="Times New Roman"/>
          <w:w w:val="105"/>
          <w:szCs w:val="24"/>
        </w:rPr>
      </w:pPr>
      <w:r w:rsidRPr="009F3E2D">
        <w:rPr>
          <w:rFonts w:ascii="Times New Roman" w:hAnsi="Times New Roman"/>
          <w:spacing w:val="-7"/>
          <w:w w:val="105"/>
          <w:szCs w:val="24"/>
        </w:rPr>
        <w:t xml:space="preserve">Sloan, Richard G. (2001). </w:t>
      </w:r>
      <w:r w:rsidRPr="009F3E2D">
        <w:rPr>
          <w:rFonts w:ascii="Times New Roman" w:hAnsi="Times New Roman"/>
          <w:i/>
          <w:iCs/>
          <w:spacing w:val="-7"/>
          <w:w w:val="105"/>
          <w:szCs w:val="24"/>
        </w:rPr>
        <w:t xml:space="preserve">“Financial Accounting and Corporate Governance: A </w:t>
      </w:r>
      <w:r w:rsidRPr="009F3E2D">
        <w:rPr>
          <w:rFonts w:ascii="Times New Roman" w:hAnsi="Times New Roman"/>
          <w:i/>
          <w:iCs/>
          <w:spacing w:val="-2"/>
          <w:w w:val="105"/>
          <w:szCs w:val="24"/>
        </w:rPr>
        <w:t>Discussion”</w:t>
      </w:r>
      <w:r w:rsidRPr="009F3E2D">
        <w:rPr>
          <w:rFonts w:ascii="Times New Roman" w:hAnsi="Times New Roman"/>
          <w:spacing w:val="-2"/>
          <w:w w:val="105"/>
          <w:szCs w:val="24"/>
        </w:rPr>
        <w:t xml:space="preserve">. </w:t>
      </w:r>
      <w:r w:rsidRPr="009F3E2D">
        <w:rPr>
          <w:rFonts w:ascii="Times New Roman" w:hAnsi="Times New Roman"/>
          <w:b/>
          <w:bCs/>
          <w:i/>
          <w:iCs/>
          <w:spacing w:val="-2"/>
          <w:w w:val="105"/>
          <w:szCs w:val="24"/>
        </w:rPr>
        <w:t xml:space="preserve">Journal of Accounting &amp; Economics, </w:t>
      </w:r>
      <w:r w:rsidRPr="009F3E2D">
        <w:rPr>
          <w:rFonts w:ascii="Times New Roman" w:hAnsi="Times New Roman"/>
          <w:spacing w:val="-2"/>
          <w:w w:val="105"/>
          <w:szCs w:val="24"/>
        </w:rPr>
        <w:t xml:space="preserve">32 (2001): 335– </w:t>
      </w:r>
      <w:r w:rsidRPr="009F3E2D">
        <w:rPr>
          <w:rFonts w:ascii="Times New Roman" w:hAnsi="Times New Roman"/>
          <w:w w:val="105"/>
          <w:szCs w:val="24"/>
        </w:rPr>
        <w:t>347.</w:t>
      </w:r>
    </w:p>
    <w:p w:rsidR="009F3E2D" w:rsidRPr="009F3E2D" w:rsidRDefault="009F3E2D" w:rsidP="009F3E2D">
      <w:pPr>
        <w:spacing w:after="0" w:line="240" w:lineRule="auto"/>
        <w:ind w:left="936" w:right="144" w:hanging="864"/>
        <w:jc w:val="both"/>
        <w:rPr>
          <w:rFonts w:ascii="Times New Roman" w:hAnsi="Times New Roman"/>
          <w:spacing w:val="-4"/>
          <w:w w:val="105"/>
          <w:szCs w:val="24"/>
        </w:rPr>
      </w:pPr>
      <w:r w:rsidRPr="009F3E2D">
        <w:rPr>
          <w:rFonts w:ascii="Times New Roman" w:hAnsi="Times New Roman"/>
          <w:spacing w:val="8"/>
          <w:w w:val="105"/>
          <w:szCs w:val="24"/>
        </w:rPr>
        <w:t xml:space="preserve">Subekti, Imam </w:t>
      </w:r>
      <w:proofErr w:type="gramStart"/>
      <w:r w:rsidRPr="009F3E2D">
        <w:rPr>
          <w:rFonts w:ascii="Times New Roman" w:hAnsi="Times New Roman"/>
          <w:spacing w:val="8"/>
          <w:w w:val="105"/>
          <w:szCs w:val="24"/>
        </w:rPr>
        <w:t>dan</w:t>
      </w:r>
      <w:proofErr w:type="gramEnd"/>
      <w:r w:rsidRPr="009F3E2D">
        <w:rPr>
          <w:rFonts w:ascii="Times New Roman" w:hAnsi="Times New Roman"/>
          <w:spacing w:val="8"/>
          <w:w w:val="105"/>
          <w:szCs w:val="24"/>
        </w:rPr>
        <w:t xml:space="preserve"> Kusuma, Indra Wijaya. (2001). “Asosiasi antara Set </w:t>
      </w:r>
      <w:r w:rsidRPr="009F3E2D">
        <w:rPr>
          <w:rFonts w:ascii="Times New Roman" w:hAnsi="Times New Roman"/>
          <w:spacing w:val="5"/>
          <w:w w:val="105"/>
          <w:szCs w:val="24"/>
        </w:rPr>
        <w:t xml:space="preserve">Kesempatan Investasi dengan Kebijakan Pendanaan dan Dividen </w:t>
      </w:r>
      <w:r w:rsidRPr="009F3E2D">
        <w:rPr>
          <w:rFonts w:ascii="Times New Roman" w:hAnsi="Times New Roman"/>
          <w:spacing w:val="-3"/>
          <w:w w:val="105"/>
          <w:szCs w:val="24"/>
        </w:rPr>
        <w:t xml:space="preserve">Perusahaan, serta Implikasinya pada Perubahan Harga Saham”. </w:t>
      </w:r>
      <w:r w:rsidRPr="009F3E2D">
        <w:rPr>
          <w:rFonts w:ascii="Times New Roman" w:hAnsi="Times New Roman"/>
          <w:b/>
          <w:bCs/>
          <w:spacing w:val="-3"/>
          <w:w w:val="105"/>
          <w:szCs w:val="24"/>
        </w:rPr>
        <w:t xml:space="preserve">Jurnal </w:t>
      </w:r>
      <w:r w:rsidRPr="009F3E2D">
        <w:rPr>
          <w:rFonts w:ascii="Times New Roman" w:hAnsi="Times New Roman"/>
          <w:b/>
          <w:bCs/>
          <w:spacing w:val="-4"/>
          <w:w w:val="105"/>
          <w:szCs w:val="24"/>
        </w:rPr>
        <w:t>Riset Akuntansi Indonesia,</w:t>
      </w:r>
      <w:r w:rsidRPr="009F3E2D">
        <w:rPr>
          <w:rFonts w:ascii="Times New Roman" w:hAnsi="Times New Roman"/>
          <w:spacing w:val="-4"/>
          <w:w w:val="105"/>
          <w:szCs w:val="24"/>
        </w:rPr>
        <w:t xml:space="preserve"> Vol. 4, No. 1: 44 – 63.</w:t>
      </w:r>
    </w:p>
    <w:p w:rsidR="009F3E2D" w:rsidRPr="009F3E2D" w:rsidRDefault="009F3E2D" w:rsidP="009F3E2D">
      <w:pPr>
        <w:numPr>
          <w:ilvl w:val="0"/>
          <w:numId w:val="10"/>
        </w:numPr>
        <w:tabs>
          <w:tab w:val="clear" w:pos="0"/>
        </w:tabs>
        <w:suppressAutoHyphens/>
        <w:spacing w:after="0" w:line="240" w:lineRule="auto"/>
        <w:ind w:left="567" w:hanging="540"/>
        <w:jc w:val="both"/>
        <w:rPr>
          <w:rFonts w:ascii="Times New Roman" w:hAnsi="Times New Roman"/>
          <w:szCs w:val="24"/>
          <w:lang w:val="sv-SE"/>
        </w:rPr>
      </w:pPr>
      <w:r w:rsidRPr="009F3E2D">
        <w:rPr>
          <w:rFonts w:ascii="Times New Roman" w:hAnsi="Times New Roman"/>
          <w:szCs w:val="24"/>
        </w:rPr>
        <w:t xml:space="preserve">Sujatmika. Indra Kusuma Wardhani. Sri Suryaningsum. </w:t>
      </w:r>
      <w:r w:rsidR="00D11A5E">
        <w:rPr>
          <w:rFonts w:ascii="Times New Roman" w:hAnsi="Times New Roman"/>
          <w:szCs w:val="24"/>
          <w:lang w:val="id-ID"/>
        </w:rPr>
        <w:t>(</w:t>
      </w:r>
      <w:r w:rsidRPr="009F3E2D">
        <w:rPr>
          <w:rFonts w:ascii="Times New Roman" w:hAnsi="Times New Roman"/>
          <w:szCs w:val="24"/>
        </w:rPr>
        <w:t>2009</w:t>
      </w:r>
      <w:r w:rsidR="00D11A5E">
        <w:rPr>
          <w:rFonts w:ascii="Times New Roman" w:hAnsi="Times New Roman"/>
          <w:szCs w:val="24"/>
          <w:lang w:val="id-ID"/>
        </w:rPr>
        <w:t>)</w:t>
      </w:r>
      <w:r w:rsidRPr="009F3E2D">
        <w:rPr>
          <w:rFonts w:ascii="Times New Roman" w:hAnsi="Times New Roman"/>
          <w:szCs w:val="24"/>
        </w:rPr>
        <w:t xml:space="preserve">. </w:t>
      </w:r>
      <w:r w:rsidRPr="009F3E2D">
        <w:rPr>
          <w:rFonts w:ascii="Times New Roman" w:hAnsi="Times New Roman"/>
          <w:szCs w:val="24"/>
          <w:lang w:val="sv-SE"/>
        </w:rPr>
        <w:t>Model Deteksi Manipulasi Aktivitas Riil Atas Arus Kas Operasi Dan Pengaruhnya Terhadap Harga Pasar (Studi Empiris Untuk Sektor Industri Consumers Goods Di Negara-Negara Kawasan Asean). Laporan Penelitian Dasar UPNVY.</w:t>
      </w:r>
    </w:p>
    <w:p w:rsidR="009F3E2D" w:rsidRPr="009F3E2D" w:rsidRDefault="009F3E2D" w:rsidP="009F3E2D">
      <w:pPr>
        <w:spacing w:after="0" w:line="240" w:lineRule="auto"/>
        <w:ind w:left="936" w:right="144" w:hanging="864"/>
        <w:jc w:val="both"/>
        <w:rPr>
          <w:rFonts w:ascii="Times New Roman" w:hAnsi="Times New Roman"/>
          <w:w w:val="105"/>
          <w:szCs w:val="24"/>
        </w:rPr>
      </w:pPr>
      <w:r w:rsidRPr="009F3E2D">
        <w:rPr>
          <w:rFonts w:ascii="Times New Roman" w:hAnsi="Times New Roman"/>
          <w:spacing w:val="3"/>
          <w:w w:val="105"/>
          <w:szCs w:val="24"/>
        </w:rPr>
        <w:t xml:space="preserve">Suranta, Eddy dan Midiastuti, Puspa. (2003). “Analisis Hubungan Struktur </w:t>
      </w:r>
      <w:r w:rsidRPr="009F3E2D">
        <w:rPr>
          <w:rFonts w:ascii="Times New Roman" w:hAnsi="Times New Roman"/>
          <w:spacing w:val="-5"/>
          <w:w w:val="105"/>
          <w:szCs w:val="24"/>
        </w:rPr>
        <w:t xml:space="preserve">Kepemilikan Manajerial, Nilai Perusahaan dan Investasi dengan Model </w:t>
      </w:r>
      <w:r w:rsidRPr="009F3E2D">
        <w:rPr>
          <w:rFonts w:ascii="Times New Roman" w:hAnsi="Times New Roman"/>
          <w:spacing w:val="-2"/>
          <w:w w:val="105"/>
          <w:szCs w:val="24"/>
        </w:rPr>
        <w:t xml:space="preserve">Persamaan Linear Simultan”. </w:t>
      </w:r>
      <w:r w:rsidRPr="009F3E2D">
        <w:rPr>
          <w:rFonts w:ascii="Times New Roman" w:hAnsi="Times New Roman"/>
          <w:b/>
          <w:bCs/>
          <w:spacing w:val="-2"/>
          <w:w w:val="105"/>
          <w:szCs w:val="24"/>
        </w:rPr>
        <w:t xml:space="preserve">Jurnal Riset Akuntansi Indonesia, </w:t>
      </w:r>
      <w:r w:rsidRPr="009F3E2D">
        <w:rPr>
          <w:rFonts w:ascii="Times New Roman" w:hAnsi="Times New Roman"/>
          <w:spacing w:val="-2"/>
          <w:w w:val="105"/>
          <w:szCs w:val="24"/>
        </w:rPr>
        <w:t xml:space="preserve">Vol. </w:t>
      </w:r>
      <w:r w:rsidRPr="009F3E2D">
        <w:rPr>
          <w:rFonts w:ascii="Times New Roman" w:hAnsi="Times New Roman"/>
          <w:w w:val="105"/>
          <w:szCs w:val="24"/>
        </w:rPr>
        <w:t>6, No. 1, Januari: 54 – 68.</w:t>
      </w:r>
    </w:p>
    <w:p w:rsidR="00653D9F" w:rsidRDefault="009F3E2D" w:rsidP="00653D9F">
      <w:pPr>
        <w:autoSpaceDE w:val="0"/>
        <w:autoSpaceDN w:val="0"/>
        <w:adjustRightInd w:val="0"/>
        <w:spacing w:after="0" w:line="240" w:lineRule="auto"/>
        <w:ind w:left="567" w:hanging="567"/>
        <w:rPr>
          <w:rFonts w:ascii="Times New Roman" w:hAnsi="Times New Roman"/>
          <w:szCs w:val="24"/>
          <w:lang w:val="id-ID"/>
        </w:rPr>
      </w:pPr>
      <w:r w:rsidRPr="009F3E2D">
        <w:rPr>
          <w:rFonts w:ascii="Times New Roman" w:hAnsi="Times New Roman"/>
          <w:szCs w:val="24"/>
        </w:rPr>
        <w:t xml:space="preserve">Undang-Undang Nomor 4 Tahun 2009 tentang Pertambangan dan Mineral Batubara </w:t>
      </w:r>
      <w:r w:rsidRPr="009F3E2D">
        <w:rPr>
          <w:rFonts w:ascii="Times New Roman" w:hAnsi="Times New Roman"/>
          <w:szCs w:val="24"/>
          <w:lang w:val="id-ID"/>
        </w:rPr>
        <w:t>(Lembaran Negara Republik Indonesia Tahun 200</w:t>
      </w:r>
      <w:r w:rsidRPr="009F3E2D">
        <w:rPr>
          <w:rFonts w:ascii="Times New Roman" w:hAnsi="Times New Roman"/>
          <w:szCs w:val="24"/>
        </w:rPr>
        <w:t>9</w:t>
      </w:r>
      <w:r w:rsidRPr="009F3E2D">
        <w:rPr>
          <w:rFonts w:ascii="Times New Roman" w:hAnsi="Times New Roman"/>
          <w:szCs w:val="24"/>
          <w:lang w:val="id-ID"/>
        </w:rPr>
        <w:t xml:space="preserve"> Nomor </w:t>
      </w:r>
      <w:r w:rsidRPr="009F3E2D">
        <w:rPr>
          <w:rFonts w:ascii="Times New Roman" w:hAnsi="Times New Roman"/>
          <w:szCs w:val="24"/>
        </w:rPr>
        <w:t>9</w:t>
      </w:r>
      <w:r w:rsidRPr="009F3E2D">
        <w:rPr>
          <w:rFonts w:ascii="Times New Roman" w:hAnsi="Times New Roman"/>
          <w:szCs w:val="24"/>
          <w:lang w:val="id-ID"/>
        </w:rPr>
        <w:t xml:space="preserve">, Tambahan Lembaran Negara Republik Indonesia Nomor </w:t>
      </w:r>
      <w:r w:rsidRPr="009F3E2D">
        <w:rPr>
          <w:rFonts w:ascii="Times New Roman" w:hAnsi="Times New Roman"/>
          <w:szCs w:val="24"/>
        </w:rPr>
        <w:t>4959</w:t>
      </w:r>
      <w:r w:rsidRPr="009F3E2D">
        <w:rPr>
          <w:rFonts w:ascii="Times New Roman" w:hAnsi="Times New Roman"/>
          <w:szCs w:val="24"/>
          <w:lang w:val="id-ID"/>
        </w:rPr>
        <w:t>);</w:t>
      </w:r>
    </w:p>
    <w:p w:rsidR="00653D9F" w:rsidRDefault="00653D9F" w:rsidP="00653D9F">
      <w:pPr>
        <w:autoSpaceDE w:val="0"/>
        <w:autoSpaceDN w:val="0"/>
        <w:adjustRightInd w:val="0"/>
        <w:spacing w:after="0" w:line="240" w:lineRule="auto"/>
        <w:ind w:left="567" w:hanging="567"/>
        <w:rPr>
          <w:rFonts w:ascii="Times New Roman" w:hAnsi="Times New Roman"/>
          <w:szCs w:val="24"/>
          <w:lang w:val="id-ID"/>
        </w:rPr>
      </w:pPr>
    </w:p>
    <w:p w:rsidR="009F3E2D" w:rsidRPr="00653D9F" w:rsidRDefault="009F3E2D" w:rsidP="00653D9F">
      <w:pPr>
        <w:autoSpaceDE w:val="0"/>
        <w:autoSpaceDN w:val="0"/>
        <w:adjustRightInd w:val="0"/>
        <w:spacing w:after="0" w:line="240" w:lineRule="auto"/>
        <w:ind w:left="567" w:hanging="567"/>
        <w:rPr>
          <w:rFonts w:ascii="Times New Roman" w:hAnsi="Times New Roman"/>
          <w:szCs w:val="24"/>
          <w:lang w:val="id-ID"/>
        </w:rPr>
      </w:pPr>
      <w:r w:rsidRPr="009F3E2D">
        <w:rPr>
          <w:rFonts w:ascii="Times New Roman" w:hAnsi="Times New Roman"/>
          <w:spacing w:val="2"/>
          <w:w w:val="105"/>
          <w:szCs w:val="24"/>
        </w:rPr>
        <w:t xml:space="preserve">Wahidahwati. (2002). “Pengaruh Kepemilikan Manajerial dan Kepemilikan </w:t>
      </w:r>
      <w:r w:rsidRPr="009F3E2D">
        <w:rPr>
          <w:rFonts w:ascii="Times New Roman" w:hAnsi="Times New Roman"/>
          <w:w w:val="105"/>
          <w:szCs w:val="24"/>
        </w:rPr>
        <w:t xml:space="preserve">Institusional pada Kebijakan Hutang Perusahaan: Sebuah Perspektif </w:t>
      </w:r>
      <w:r w:rsidRPr="009F3E2D">
        <w:rPr>
          <w:rFonts w:ascii="Times New Roman" w:hAnsi="Times New Roman"/>
          <w:spacing w:val="-3"/>
          <w:w w:val="105"/>
          <w:szCs w:val="24"/>
        </w:rPr>
        <w:t xml:space="preserve">Theory Agency”. </w:t>
      </w:r>
      <w:r w:rsidRPr="009F3E2D">
        <w:rPr>
          <w:rFonts w:ascii="Times New Roman" w:hAnsi="Times New Roman"/>
          <w:b/>
          <w:bCs/>
          <w:spacing w:val="-3"/>
          <w:w w:val="105"/>
          <w:szCs w:val="24"/>
        </w:rPr>
        <w:t xml:space="preserve">Jurnal Riset Akuntansi Indonesia, </w:t>
      </w:r>
      <w:r w:rsidRPr="009F3E2D">
        <w:rPr>
          <w:rFonts w:ascii="Times New Roman" w:hAnsi="Times New Roman"/>
          <w:spacing w:val="-3"/>
          <w:w w:val="105"/>
          <w:szCs w:val="24"/>
        </w:rPr>
        <w:t xml:space="preserve">Vol. 5, No. 1, </w:t>
      </w:r>
      <w:r w:rsidRPr="009F3E2D">
        <w:rPr>
          <w:rFonts w:ascii="Times New Roman" w:hAnsi="Times New Roman"/>
          <w:spacing w:val="-2"/>
          <w:w w:val="105"/>
          <w:szCs w:val="24"/>
        </w:rPr>
        <w:t>Januari: 1 – 16.</w:t>
      </w:r>
    </w:p>
    <w:p w:rsidR="009F3E2D" w:rsidRDefault="009F3E2D" w:rsidP="009F3E2D">
      <w:pPr>
        <w:autoSpaceDE w:val="0"/>
        <w:autoSpaceDN w:val="0"/>
        <w:adjustRightInd w:val="0"/>
        <w:spacing w:after="0" w:line="240" w:lineRule="auto"/>
        <w:rPr>
          <w:rFonts w:ascii="Times New Roman" w:hAnsi="Times New Roman"/>
          <w:szCs w:val="24"/>
          <w:lang w:val="id-ID"/>
        </w:rPr>
      </w:pPr>
    </w:p>
    <w:p w:rsidR="009F3E2D" w:rsidRDefault="009F3E2D" w:rsidP="009F3E2D">
      <w:pPr>
        <w:autoSpaceDE w:val="0"/>
        <w:autoSpaceDN w:val="0"/>
        <w:adjustRightInd w:val="0"/>
        <w:spacing w:after="0" w:line="240" w:lineRule="auto"/>
        <w:rPr>
          <w:rFonts w:ascii="Times New Roman" w:hAnsi="Times New Roman"/>
          <w:szCs w:val="24"/>
          <w:lang w:val="id-ID"/>
        </w:rPr>
      </w:pPr>
    </w:p>
    <w:p w:rsidR="009F3E2D" w:rsidRDefault="009F3E2D" w:rsidP="009F3E2D">
      <w:pPr>
        <w:autoSpaceDE w:val="0"/>
        <w:autoSpaceDN w:val="0"/>
        <w:adjustRightInd w:val="0"/>
        <w:spacing w:after="0" w:line="240" w:lineRule="auto"/>
        <w:rPr>
          <w:rFonts w:ascii="Times New Roman" w:hAnsi="Times New Roman"/>
          <w:szCs w:val="24"/>
          <w:lang w:val="id-ID"/>
        </w:rPr>
      </w:pPr>
    </w:p>
    <w:p w:rsidR="009F3E2D" w:rsidRDefault="009F3E2D" w:rsidP="009F3E2D">
      <w:pPr>
        <w:autoSpaceDE w:val="0"/>
        <w:autoSpaceDN w:val="0"/>
        <w:adjustRightInd w:val="0"/>
        <w:spacing w:after="0" w:line="240" w:lineRule="auto"/>
        <w:rPr>
          <w:rFonts w:ascii="Times New Roman" w:hAnsi="Times New Roman"/>
          <w:szCs w:val="24"/>
          <w:lang w:val="id-ID"/>
        </w:rPr>
      </w:pPr>
    </w:p>
    <w:p w:rsidR="009F3E2D" w:rsidRDefault="009F3E2D" w:rsidP="009F3E2D">
      <w:pPr>
        <w:autoSpaceDE w:val="0"/>
        <w:autoSpaceDN w:val="0"/>
        <w:adjustRightInd w:val="0"/>
        <w:spacing w:after="0" w:line="240" w:lineRule="auto"/>
        <w:rPr>
          <w:rFonts w:ascii="Times New Roman" w:hAnsi="Times New Roman"/>
          <w:szCs w:val="24"/>
          <w:lang w:val="id-ID"/>
        </w:rPr>
      </w:pPr>
    </w:p>
    <w:p w:rsidR="009F3E2D" w:rsidRDefault="009F3E2D" w:rsidP="009F3E2D">
      <w:pPr>
        <w:autoSpaceDE w:val="0"/>
        <w:autoSpaceDN w:val="0"/>
        <w:adjustRightInd w:val="0"/>
        <w:spacing w:after="0" w:line="240" w:lineRule="auto"/>
        <w:rPr>
          <w:rFonts w:ascii="Times New Roman" w:hAnsi="Times New Roman"/>
          <w:szCs w:val="24"/>
          <w:lang w:val="id-ID"/>
        </w:rPr>
      </w:pPr>
    </w:p>
    <w:p w:rsidR="009F3E2D" w:rsidRPr="009F3E2D" w:rsidRDefault="009F3E2D" w:rsidP="009F3E2D">
      <w:pPr>
        <w:autoSpaceDE w:val="0"/>
        <w:autoSpaceDN w:val="0"/>
        <w:adjustRightInd w:val="0"/>
        <w:spacing w:after="0" w:line="240" w:lineRule="auto"/>
        <w:rPr>
          <w:rFonts w:ascii="Times New Roman" w:hAnsi="Times New Roman"/>
          <w:szCs w:val="24"/>
          <w:lang w:val="id-ID"/>
        </w:rPr>
        <w:sectPr w:rsidR="009F3E2D" w:rsidRPr="009F3E2D" w:rsidSect="00D02E03">
          <w:headerReference w:type="even" r:id="rId10"/>
          <w:headerReference w:type="default" r:id="rId11"/>
          <w:footerReference w:type="even" r:id="rId12"/>
          <w:footerReference w:type="default" r:id="rId13"/>
          <w:pgSz w:w="11520" w:h="15840"/>
          <w:pgMar w:top="1440" w:right="1440" w:bottom="1440" w:left="1440" w:header="0" w:footer="796" w:gutter="0"/>
          <w:cols w:space="720"/>
          <w:noEndnote/>
          <w:docGrid w:linePitch="326"/>
        </w:sectPr>
      </w:pPr>
    </w:p>
    <w:p w:rsidR="009F3E2D" w:rsidRPr="009F3E2D" w:rsidRDefault="009F3E2D" w:rsidP="009F3E2D">
      <w:pPr>
        <w:autoSpaceDE w:val="0"/>
        <w:autoSpaceDN w:val="0"/>
        <w:adjustRightInd w:val="0"/>
        <w:spacing w:after="0" w:line="240" w:lineRule="auto"/>
        <w:rPr>
          <w:rFonts w:ascii="Times New Roman" w:hAnsi="Times New Roman"/>
          <w:szCs w:val="24"/>
          <w:lang w:val="id-ID"/>
        </w:rPr>
      </w:pPr>
    </w:p>
    <w:p w:rsidR="009F3E2D" w:rsidRPr="009F3E2D" w:rsidRDefault="009F3E2D" w:rsidP="009F3E2D">
      <w:pPr>
        <w:autoSpaceDE w:val="0"/>
        <w:autoSpaceDN w:val="0"/>
        <w:adjustRightInd w:val="0"/>
        <w:spacing w:after="0" w:line="240" w:lineRule="auto"/>
        <w:rPr>
          <w:rFonts w:ascii="Times New Roman" w:hAnsi="Times New Roman"/>
          <w:szCs w:val="24"/>
          <w:lang w:val="id-ID"/>
        </w:rPr>
      </w:pPr>
    </w:p>
    <w:p w:rsidR="009F3E2D" w:rsidRPr="009F3E2D" w:rsidRDefault="009F3E2D" w:rsidP="009F3E2D">
      <w:pPr>
        <w:suppressAutoHyphens/>
        <w:spacing w:after="0" w:line="240" w:lineRule="auto"/>
        <w:jc w:val="both"/>
        <w:rPr>
          <w:rFonts w:ascii="Times New Roman" w:hAnsi="Times New Roman"/>
          <w:szCs w:val="24"/>
          <w:lang w:val="id-ID"/>
        </w:rPr>
      </w:pPr>
    </w:p>
    <w:p w:rsidR="009F3E2D" w:rsidRPr="009F3E2D" w:rsidRDefault="009F3E2D" w:rsidP="009F3E2D">
      <w:pPr>
        <w:suppressAutoHyphens/>
        <w:spacing w:after="0" w:line="240" w:lineRule="auto"/>
        <w:jc w:val="both"/>
        <w:rPr>
          <w:rFonts w:ascii="Times New Roman" w:hAnsi="Times New Roman"/>
          <w:szCs w:val="24"/>
          <w:lang w:val="id-ID"/>
        </w:rPr>
      </w:pPr>
    </w:p>
    <w:p w:rsidR="009F3E2D" w:rsidRPr="009F3E2D" w:rsidRDefault="009F3E2D" w:rsidP="009F3E2D">
      <w:pPr>
        <w:suppressAutoHyphens/>
        <w:spacing w:after="0" w:line="240" w:lineRule="auto"/>
        <w:jc w:val="both"/>
        <w:rPr>
          <w:rFonts w:ascii="Times New Roman" w:hAnsi="Times New Roman"/>
          <w:szCs w:val="24"/>
          <w:lang w:val="id-ID"/>
        </w:rPr>
      </w:pPr>
    </w:p>
    <w:p w:rsidR="009F3E2D" w:rsidRPr="009F3E2D" w:rsidRDefault="009F3E2D" w:rsidP="009F3E2D">
      <w:pPr>
        <w:suppressAutoHyphens/>
        <w:spacing w:after="0" w:line="240" w:lineRule="auto"/>
        <w:jc w:val="both"/>
        <w:rPr>
          <w:rFonts w:ascii="Times New Roman" w:hAnsi="Times New Roman"/>
          <w:szCs w:val="24"/>
          <w:lang w:val="id-ID"/>
        </w:rPr>
      </w:pPr>
    </w:p>
    <w:p w:rsidR="00653D9F" w:rsidRPr="009F3E2D" w:rsidRDefault="00653D9F" w:rsidP="00653D9F">
      <w:pPr>
        <w:autoSpaceDE w:val="0"/>
        <w:autoSpaceDN w:val="0"/>
        <w:adjustRightInd w:val="0"/>
        <w:spacing w:after="0" w:line="240" w:lineRule="auto"/>
        <w:rPr>
          <w:rFonts w:ascii="Times New Roman" w:hAnsi="Times New Roman"/>
          <w:szCs w:val="24"/>
          <w:lang w:val="id-ID"/>
        </w:rPr>
      </w:pPr>
    </w:p>
    <w:p w:rsidR="00653D9F" w:rsidRPr="009F3E2D" w:rsidRDefault="00653D9F" w:rsidP="00653D9F">
      <w:pPr>
        <w:suppressAutoHyphens/>
        <w:spacing w:after="0" w:line="240" w:lineRule="auto"/>
        <w:jc w:val="both"/>
        <w:rPr>
          <w:rFonts w:ascii="Times New Roman" w:hAnsi="Times New Roman"/>
          <w:szCs w:val="24"/>
          <w:lang w:val="id-ID"/>
        </w:rPr>
      </w:pPr>
    </w:p>
    <w:p w:rsidR="00653D9F" w:rsidRPr="009F3E2D" w:rsidRDefault="00653D9F" w:rsidP="00653D9F">
      <w:pPr>
        <w:suppressAutoHyphens/>
        <w:spacing w:after="0" w:line="240" w:lineRule="auto"/>
        <w:jc w:val="both"/>
        <w:rPr>
          <w:rFonts w:ascii="Times New Roman" w:hAnsi="Times New Roman"/>
          <w:szCs w:val="24"/>
          <w:lang w:val="id-ID"/>
        </w:rPr>
      </w:pPr>
    </w:p>
    <w:sectPr w:rsidR="00653D9F" w:rsidRPr="009F3E2D" w:rsidSect="00683FA5">
      <w:headerReference w:type="even" r:id="rId14"/>
      <w:headerReference w:type="default" r:id="rId15"/>
      <w:footerReference w:type="even"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19" w:rsidRDefault="00F10A19" w:rsidP="006E3650">
      <w:pPr>
        <w:spacing w:after="0" w:line="240" w:lineRule="auto"/>
      </w:pPr>
      <w:r>
        <w:separator/>
      </w:r>
    </w:p>
  </w:endnote>
  <w:endnote w:type="continuationSeparator" w:id="0">
    <w:p w:rsidR="00F10A19" w:rsidRDefault="00F10A19" w:rsidP="006E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A0" w:rsidRDefault="00F10A19">
    <w:pPr>
      <w:rPr>
        <w:sz w:val="16"/>
        <w:szCs w:val="16"/>
      </w:rPr>
    </w:pPr>
    <w:r>
      <w:rPr>
        <w:noProof/>
      </w:rPr>
      <w:pict>
        <v:shapetype id="_x0000_t202" coordsize="21600,21600" o:spt="202" path="m,l,21600r21600,l21600,xe">
          <v:stroke joinstyle="miter"/>
          <v:path gradientshapeok="t" o:connecttype="rect"/>
        </v:shapetype>
        <v:shape id="_x0000_s2058" type="#_x0000_t202" style="position:absolute;margin-left:99.25pt;margin-top:0;width:377.5pt;height:10.8pt;z-index:251656192;mso-wrap-edited:f;mso-wrap-distance-left:0;mso-wrap-distance-right:0;mso-position-horizontal-relative:page" wrapcoords="-62 0 -62 21600 21662 21600 21662 0 -62 0" o:allowincell="f" stroked="f">
          <v:fill opacity="0"/>
          <v:textbox inset="0,0,0,0">
            <w:txbxContent>
              <w:p w:rsidR="00A85BA0" w:rsidRDefault="00152E2F">
                <w:pPr>
                  <w:keepNext/>
                  <w:keepLines/>
                  <w:jc w:val="right"/>
                  <w:rPr>
                    <w:w w:val="105"/>
                    <w:sz w:val="22"/>
                  </w:rPr>
                </w:pPr>
                <w:r>
                  <w:rPr>
                    <w:w w:val="105"/>
                    <w:sz w:val="22"/>
                  </w:rPr>
                  <w:fldChar w:fldCharType="begin"/>
                </w:r>
                <w:r w:rsidR="00A85BA0">
                  <w:rPr>
                    <w:w w:val="105"/>
                    <w:sz w:val="22"/>
                  </w:rPr>
                  <w:instrText xml:space="preserve"> PAGE </w:instrText>
                </w:r>
                <w:r>
                  <w:rPr>
                    <w:w w:val="105"/>
                    <w:sz w:val="22"/>
                  </w:rPr>
                  <w:fldChar w:fldCharType="separate"/>
                </w:r>
                <w:r w:rsidR="00A85BA0">
                  <w:rPr>
                    <w:w w:val="105"/>
                    <w:sz w:val="22"/>
                  </w:rPr>
                  <w:t>54</w:t>
                </w:r>
                <w:r>
                  <w:rPr>
                    <w:w w:val="105"/>
                    <w:sz w:val="22"/>
                  </w:rPr>
                  <w:fldChar w:fldCharType="end"/>
                </w:r>
              </w:p>
            </w:txbxContent>
          </v:textbox>
          <w10:wrap type="square"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A0" w:rsidRDefault="00F10A19">
    <w:pPr>
      <w:rPr>
        <w:sz w:val="16"/>
        <w:szCs w:val="16"/>
      </w:rPr>
    </w:pPr>
    <w:r>
      <w:rPr>
        <w:noProof/>
      </w:rPr>
      <w:pict>
        <v:shapetype id="_x0000_t202" coordsize="21600,21600" o:spt="202" path="m,l,21600r21600,l21600,xe">
          <v:stroke joinstyle="miter"/>
          <v:path gradientshapeok="t" o:connecttype="rect"/>
        </v:shapetype>
        <v:shape id="_x0000_s2059" type="#_x0000_t202" style="position:absolute;margin-left:99.25pt;margin-top:0;width:377.5pt;height:10.8pt;z-index:251657216;mso-wrap-edited:f;mso-wrap-distance-left:0;mso-wrap-distance-right:0;mso-position-horizontal-relative:page" wrapcoords="-62 0 -62 21600 21662 21600 21662 0 -62 0" o:allowincell="f" stroked="f">
          <v:fill opacity="0"/>
          <v:textbox inset="0,0,0,0">
            <w:txbxContent>
              <w:p w:rsidR="00A85BA0" w:rsidRDefault="00152E2F">
                <w:pPr>
                  <w:keepNext/>
                  <w:keepLines/>
                  <w:jc w:val="right"/>
                  <w:rPr>
                    <w:w w:val="105"/>
                    <w:sz w:val="22"/>
                  </w:rPr>
                </w:pPr>
                <w:r>
                  <w:rPr>
                    <w:w w:val="105"/>
                    <w:sz w:val="22"/>
                  </w:rPr>
                  <w:fldChar w:fldCharType="begin"/>
                </w:r>
                <w:r w:rsidR="00A85BA0">
                  <w:rPr>
                    <w:w w:val="105"/>
                    <w:sz w:val="22"/>
                  </w:rPr>
                  <w:instrText xml:space="preserve"> PAGE </w:instrText>
                </w:r>
                <w:r>
                  <w:rPr>
                    <w:w w:val="105"/>
                    <w:sz w:val="22"/>
                  </w:rPr>
                  <w:fldChar w:fldCharType="separate"/>
                </w:r>
                <w:r w:rsidR="004F1E1A">
                  <w:rPr>
                    <w:noProof/>
                    <w:w w:val="105"/>
                    <w:sz w:val="22"/>
                  </w:rPr>
                  <w:t>6</w:t>
                </w:r>
                <w:r>
                  <w:rPr>
                    <w:w w:val="105"/>
                    <w:sz w:val="22"/>
                  </w:rPr>
                  <w:fldChar w:fldCharType="end"/>
                </w:r>
              </w:p>
            </w:txbxContent>
          </v:textbox>
          <w10:wrap type="square"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A0" w:rsidRDefault="00F10A19">
    <w:pPr>
      <w:rPr>
        <w:sz w:val="16"/>
        <w:szCs w:val="16"/>
      </w:rPr>
    </w:pPr>
    <w:r>
      <w:rPr>
        <w:noProof/>
      </w:rPr>
      <w:pict>
        <v:shapetype id="_x0000_t202" coordsize="21600,21600" o:spt="202" path="m,l,21600r21600,l21600,xe">
          <v:stroke joinstyle="miter"/>
          <v:path gradientshapeok="t" o:connecttype="rect"/>
        </v:shapetype>
        <v:shape id="_x0000_s2054" type="#_x0000_t202" style="position:absolute;margin-left:109.4pt;margin-top:0;width:360.3pt;height:10.8pt;z-index:251658240;mso-wrap-edited:f;mso-wrap-distance-left:0;mso-wrap-distance-right:0;mso-position-horizontal-relative:page" wrapcoords="-62 0 -62 21600 21662 21600 21662 0 -62 0" o:allowincell="f" stroked="f">
          <v:fill opacity="0"/>
          <v:textbox inset="0,0,0,0">
            <w:txbxContent>
              <w:p w:rsidR="00A85BA0" w:rsidRDefault="00152E2F">
                <w:pPr>
                  <w:keepNext/>
                  <w:keepLines/>
                  <w:jc w:val="right"/>
                  <w:rPr>
                    <w:w w:val="105"/>
                    <w:sz w:val="22"/>
                  </w:rPr>
                </w:pPr>
                <w:r>
                  <w:rPr>
                    <w:w w:val="105"/>
                    <w:sz w:val="22"/>
                  </w:rPr>
                  <w:fldChar w:fldCharType="begin"/>
                </w:r>
                <w:r w:rsidR="00A85BA0">
                  <w:rPr>
                    <w:w w:val="105"/>
                    <w:sz w:val="22"/>
                  </w:rPr>
                  <w:instrText xml:space="preserve"> PAGE </w:instrText>
                </w:r>
                <w:r>
                  <w:rPr>
                    <w:w w:val="105"/>
                    <w:sz w:val="22"/>
                  </w:rPr>
                  <w:fldChar w:fldCharType="separate"/>
                </w:r>
                <w:r w:rsidR="00A85BA0">
                  <w:rPr>
                    <w:w w:val="105"/>
                    <w:sz w:val="22"/>
                  </w:rPr>
                  <w:t>9</w:t>
                </w:r>
                <w:r>
                  <w:rPr>
                    <w:w w:val="105"/>
                    <w:sz w:val="22"/>
                  </w:rPr>
                  <w:fldChar w:fldCharType="end"/>
                </w:r>
              </w:p>
            </w:txbxContent>
          </v:textbox>
          <w10:wrap type="square" anchorx="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A0" w:rsidRDefault="00F10A19">
    <w:pPr>
      <w:rPr>
        <w:sz w:val="16"/>
        <w:szCs w:val="16"/>
      </w:rPr>
    </w:pPr>
    <w:r>
      <w:rPr>
        <w:noProof/>
      </w:rPr>
      <w:pict>
        <v:shapetype id="_x0000_t202" coordsize="21600,21600" o:spt="202" path="m,l,21600r21600,l21600,xe">
          <v:stroke joinstyle="miter"/>
          <v:path gradientshapeok="t" o:connecttype="rect"/>
        </v:shapetype>
        <v:shape id="_x0000_s2055" type="#_x0000_t202" style="position:absolute;margin-left:109.4pt;margin-top:0;width:360.3pt;height:10.8pt;z-index:251659264;mso-wrap-edited:f;mso-wrap-distance-left:0;mso-wrap-distance-right:0;mso-position-horizontal-relative:page" wrapcoords="-62 0 -62 21600 21662 21600 21662 0 -62 0" o:allowincell="f" stroked="f">
          <v:fill opacity="0"/>
          <v:textbox inset="0,0,0,0">
            <w:txbxContent>
              <w:p w:rsidR="00A85BA0" w:rsidRDefault="00152E2F">
                <w:pPr>
                  <w:keepNext/>
                  <w:keepLines/>
                  <w:jc w:val="right"/>
                  <w:rPr>
                    <w:w w:val="105"/>
                    <w:sz w:val="22"/>
                  </w:rPr>
                </w:pPr>
                <w:r>
                  <w:rPr>
                    <w:w w:val="105"/>
                    <w:sz w:val="22"/>
                  </w:rPr>
                  <w:fldChar w:fldCharType="begin"/>
                </w:r>
                <w:r w:rsidR="00A85BA0">
                  <w:rPr>
                    <w:w w:val="105"/>
                    <w:sz w:val="22"/>
                  </w:rPr>
                  <w:instrText xml:space="preserve"> PAGE </w:instrText>
                </w:r>
                <w:r>
                  <w:rPr>
                    <w:w w:val="105"/>
                    <w:sz w:val="22"/>
                  </w:rPr>
                  <w:fldChar w:fldCharType="separate"/>
                </w:r>
                <w:r w:rsidR="004F1E1A">
                  <w:rPr>
                    <w:noProof/>
                    <w:w w:val="105"/>
                    <w:sz w:val="22"/>
                  </w:rPr>
                  <w:t>20</w:t>
                </w:r>
                <w:r>
                  <w:rPr>
                    <w:w w:val="105"/>
                    <w:sz w:val="22"/>
                  </w:rPr>
                  <w:fldChar w:fldCharType="end"/>
                </w:r>
              </w:p>
            </w:txbxContent>
          </v:textbox>
          <w10:wrap type="square"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19" w:rsidRDefault="00F10A19" w:rsidP="006E3650">
      <w:pPr>
        <w:spacing w:after="0" w:line="240" w:lineRule="auto"/>
      </w:pPr>
      <w:r>
        <w:separator/>
      </w:r>
    </w:p>
  </w:footnote>
  <w:footnote w:type="continuationSeparator" w:id="0">
    <w:p w:rsidR="00F10A19" w:rsidRDefault="00F10A19" w:rsidP="006E3650">
      <w:pPr>
        <w:spacing w:after="0" w:line="240" w:lineRule="auto"/>
      </w:pPr>
      <w:r>
        <w:continuationSeparator/>
      </w:r>
    </w:p>
  </w:footnote>
  <w:footnote w:id="1">
    <w:p w:rsidR="000B1676" w:rsidRPr="000B1676" w:rsidRDefault="000B1676">
      <w:pPr>
        <w:pStyle w:val="FootnoteText"/>
        <w:rPr>
          <w:lang w:val="id-ID"/>
        </w:rPr>
      </w:pPr>
      <w:r>
        <w:rPr>
          <w:rStyle w:val="FootnoteReference"/>
        </w:rPr>
        <w:footnoteRef/>
      </w:r>
      <w:r>
        <w:t xml:space="preserve"> </w:t>
      </w:r>
      <w:r>
        <w:rPr>
          <w:lang w:val="id-ID"/>
        </w:rPr>
        <w:t>Artikel ini merupakan bagian hasil dari Hibah Bersaing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A0" w:rsidRDefault="00A85BA0">
    <w:pPr>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A0" w:rsidRDefault="00A85BA0">
    <w:pPr>
      <w:autoSpaceDE w:val="0"/>
      <w:autoSpaceDN w:val="0"/>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A0" w:rsidRDefault="00A85BA0">
    <w:pPr>
      <w:autoSpaceDE w:val="0"/>
      <w:autoSpaceDN w:val="0"/>
      <w:adjustRightInd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A0" w:rsidRDefault="00A85BA0">
    <w:pPr>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98BC95"/>
    <w:multiLevelType w:val="singleLevel"/>
    <w:tmpl w:val="44D7A234"/>
    <w:lvl w:ilvl="0">
      <w:numFmt w:val="bullet"/>
      <w:lvlText w:val="·"/>
      <w:lvlJc w:val="left"/>
      <w:pPr>
        <w:tabs>
          <w:tab w:val="num" w:pos="360"/>
        </w:tabs>
      </w:pPr>
      <w:rPr>
        <w:rFonts w:ascii="Symbol" w:hAnsi="Symbol" w:cs="Symbol"/>
        <w:snapToGrid/>
        <w:color w:val="FFFFFF"/>
        <w:spacing w:val="14"/>
        <w:sz w:val="28"/>
        <w:szCs w:val="28"/>
      </w:rPr>
    </w:lvl>
  </w:abstractNum>
  <w:abstractNum w:abstractNumId="2" w15:restartNumberingAfterBreak="0">
    <w:nsid w:val="0DD55073"/>
    <w:multiLevelType w:val="hybridMultilevel"/>
    <w:tmpl w:val="B0621B42"/>
    <w:lvl w:ilvl="0" w:tplc="B4964BDC">
      <w:start w:val="1"/>
      <w:numFmt w:val="decimal"/>
      <w:lvlText w:val="%1."/>
      <w:lvlJc w:val="left"/>
      <w:pPr>
        <w:ind w:left="1287" w:hanging="360"/>
      </w:pPr>
      <w:rPr>
        <w:rFonts w:hint="default"/>
        <w:b w:val="0"/>
        <w:w w:val="100"/>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1A05685F"/>
    <w:multiLevelType w:val="hybridMultilevel"/>
    <w:tmpl w:val="91829C0E"/>
    <w:lvl w:ilvl="0" w:tplc="323CAC68">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5BBB626B"/>
    <w:multiLevelType w:val="multilevel"/>
    <w:tmpl w:val="BA8C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E50CB"/>
    <w:multiLevelType w:val="hybridMultilevel"/>
    <w:tmpl w:val="C91A7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31CA7"/>
    <w:multiLevelType w:val="hybridMultilevel"/>
    <w:tmpl w:val="E0F26238"/>
    <w:lvl w:ilvl="0" w:tplc="0CE29642">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7" w15:restartNumberingAfterBreak="0">
    <w:nsid w:val="6B126E7A"/>
    <w:multiLevelType w:val="hybridMultilevel"/>
    <w:tmpl w:val="F6F48016"/>
    <w:lvl w:ilvl="0" w:tplc="8C30725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77775051"/>
    <w:multiLevelType w:val="hybridMultilevel"/>
    <w:tmpl w:val="9EB63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BD1C7E"/>
    <w:multiLevelType w:val="hybridMultilevel"/>
    <w:tmpl w:val="9BF0B74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lvlOverride w:ilvl="0">
      <w:lvl w:ilvl="0">
        <w:numFmt w:val="bullet"/>
        <w:lvlText w:val="·"/>
        <w:lvlJc w:val="left"/>
        <w:pPr>
          <w:tabs>
            <w:tab w:val="num" w:pos="216"/>
          </w:tabs>
          <w:ind w:left="62"/>
        </w:pPr>
        <w:rPr>
          <w:rFonts w:ascii="Symbol" w:hAnsi="Symbol" w:cs="Symbol"/>
          <w:snapToGrid/>
          <w:color w:val="57585B"/>
          <w:spacing w:val="20"/>
          <w:sz w:val="15"/>
          <w:szCs w:val="15"/>
        </w:rPr>
      </w:lvl>
    </w:lvlOverride>
  </w:num>
  <w:num w:numId="2">
    <w:abstractNumId w:val="5"/>
  </w:num>
  <w:num w:numId="3">
    <w:abstractNumId w:val="1"/>
    <w:lvlOverride w:ilvl="0">
      <w:lvl w:ilvl="0">
        <w:numFmt w:val="bullet"/>
        <w:lvlText w:val="·"/>
        <w:lvlJc w:val="left"/>
        <w:pPr>
          <w:tabs>
            <w:tab w:val="num" w:pos="432"/>
          </w:tabs>
          <w:ind w:left="1944" w:hanging="432"/>
        </w:pPr>
        <w:rPr>
          <w:rFonts w:ascii="Symbol" w:hAnsi="Symbol" w:cs="Symbol"/>
          <w:snapToGrid/>
          <w:color w:val="57585B"/>
          <w:spacing w:val="10"/>
          <w:sz w:val="16"/>
          <w:szCs w:val="16"/>
        </w:rPr>
      </w:lvl>
    </w:lvlOverride>
  </w:num>
  <w:num w:numId="4">
    <w:abstractNumId w:val="8"/>
  </w:num>
  <w:num w:numId="5">
    <w:abstractNumId w:val="6"/>
  </w:num>
  <w:num w:numId="6">
    <w:abstractNumId w:val="9"/>
  </w:num>
  <w:num w:numId="7">
    <w:abstractNumId w:val="4"/>
  </w:num>
  <w:num w:numId="8">
    <w:abstractNumId w:val="3"/>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138CA"/>
    <w:rsid w:val="000710D7"/>
    <w:rsid w:val="000B1676"/>
    <w:rsid w:val="00114967"/>
    <w:rsid w:val="00152E2F"/>
    <w:rsid w:val="001C7F8C"/>
    <w:rsid w:val="001E7F22"/>
    <w:rsid w:val="001F003A"/>
    <w:rsid w:val="002405BF"/>
    <w:rsid w:val="002A7D05"/>
    <w:rsid w:val="002F7848"/>
    <w:rsid w:val="00316BC2"/>
    <w:rsid w:val="00351360"/>
    <w:rsid w:val="00377756"/>
    <w:rsid w:val="0040272F"/>
    <w:rsid w:val="004119A7"/>
    <w:rsid w:val="00432133"/>
    <w:rsid w:val="004A3D3D"/>
    <w:rsid w:val="004F1E1A"/>
    <w:rsid w:val="00532306"/>
    <w:rsid w:val="00631ACB"/>
    <w:rsid w:val="00653D9F"/>
    <w:rsid w:val="00675F38"/>
    <w:rsid w:val="00683FA5"/>
    <w:rsid w:val="006E3650"/>
    <w:rsid w:val="007110F2"/>
    <w:rsid w:val="00717D32"/>
    <w:rsid w:val="007D6E56"/>
    <w:rsid w:val="007D7C33"/>
    <w:rsid w:val="007F08FA"/>
    <w:rsid w:val="008138CA"/>
    <w:rsid w:val="00885A26"/>
    <w:rsid w:val="00887A01"/>
    <w:rsid w:val="008B2404"/>
    <w:rsid w:val="009131DA"/>
    <w:rsid w:val="009F3E2D"/>
    <w:rsid w:val="00A12A4D"/>
    <w:rsid w:val="00A85BA0"/>
    <w:rsid w:val="00B66019"/>
    <w:rsid w:val="00D02E03"/>
    <w:rsid w:val="00D11A5E"/>
    <w:rsid w:val="00D554AD"/>
    <w:rsid w:val="00DF272C"/>
    <w:rsid w:val="00F10A19"/>
    <w:rsid w:val="00F653F7"/>
    <w:rsid w:val="00FA18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0836F8A9-8F79-4DFC-BECE-596F52F3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8CA"/>
    <w:rPr>
      <w:rFonts w:ascii="Gill Sans MT" w:eastAsia="Calibri" w:hAnsi="Gill Sans MT" w:cs="Times New Roman"/>
      <w:sz w:val="24"/>
      <w:lang w:val="en-US"/>
    </w:rPr>
  </w:style>
  <w:style w:type="paragraph" w:styleId="Heading1">
    <w:name w:val="heading 1"/>
    <w:basedOn w:val="Normal"/>
    <w:next w:val="Normal"/>
    <w:link w:val="Heading1Char"/>
    <w:uiPriority w:val="9"/>
    <w:qFormat/>
    <w:rsid w:val="00D02E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8CA"/>
    <w:rPr>
      <w:rFonts w:ascii="Tahoma" w:eastAsia="Calibri" w:hAnsi="Tahoma" w:cs="Tahoma"/>
      <w:sz w:val="16"/>
      <w:szCs w:val="16"/>
      <w:lang w:val="en-US"/>
    </w:rPr>
  </w:style>
  <w:style w:type="paragraph" w:styleId="ListParagraph">
    <w:name w:val="List Paragraph"/>
    <w:basedOn w:val="Normal"/>
    <w:uiPriority w:val="34"/>
    <w:qFormat/>
    <w:rsid w:val="000710D7"/>
    <w:pPr>
      <w:spacing w:line="480" w:lineRule="auto"/>
      <w:ind w:left="720"/>
      <w:contextualSpacing/>
      <w:jc w:val="center"/>
    </w:pPr>
    <w:rPr>
      <w:rFonts w:ascii="Calibri" w:hAnsi="Calibri"/>
      <w:sz w:val="22"/>
      <w:lang w:val="id-ID"/>
    </w:rPr>
  </w:style>
  <w:style w:type="character" w:styleId="Emphasis">
    <w:name w:val="Emphasis"/>
    <w:basedOn w:val="DefaultParagraphFont"/>
    <w:uiPriority w:val="20"/>
    <w:qFormat/>
    <w:rsid w:val="007110F2"/>
    <w:rPr>
      <w:i/>
      <w:iCs/>
    </w:rPr>
  </w:style>
  <w:style w:type="paragraph" w:styleId="NormalWeb">
    <w:name w:val="Normal (Web)"/>
    <w:basedOn w:val="Normal"/>
    <w:uiPriority w:val="99"/>
    <w:unhideWhenUsed/>
    <w:rsid w:val="00351360"/>
    <w:pPr>
      <w:spacing w:before="100" w:beforeAutospacing="1" w:after="100" w:afterAutospacing="1" w:line="240" w:lineRule="auto"/>
    </w:pPr>
    <w:rPr>
      <w:rFonts w:ascii="Times New Roman" w:eastAsia="Times New Roman" w:hAnsi="Times New Roman"/>
      <w:szCs w:val="24"/>
      <w:lang w:val="id-ID" w:eastAsia="id-ID"/>
    </w:rPr>
  </w:style>
  <w:style w:type="paragraph" w:styleId="BodyText">
    <w:name w:val="Body Text"/>
    <w:basedOn w:val="Normal"/>
    <w:link w:val="BodyTextChar"/>
    <w:uiPriority w:val="99"/>
    <w:semiHidden/>
    <w:unhideWhenUsed/>
    <w:rsid w:val="00351360"/>
    <w:pPr>
      <w:spacing w:after="120" w:line="240" w:lineRule="auto"/>
    </w:pPr>
    <w:rPr>
      <w:rFonts w:ascii="Times New Roman" w:eastAsia="Times New Roman" w:hAnsi="Times New Roman"/>
      <w:szCs w:val="24"/>
    </w:rPr>
  </w:style>
  <w:style w:type="character" w:customStyle="1" w:styleId="BodyTextChar">
    <w:name w:val="Body Text Char"/>
    <w:basedOn w:val="DefaultParagraphFont"/>
    <w:link w:val="BodyText"/>
    <w:uiPriority w:val="99"/>
    <w:semiHidden/>
    <w:rsid w:val="00351360"/>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351360"/>
    <w:rPr>
      <w:color w:val="0000FF"/>
      <w:u w:val="single"/>
    </w:rPr>
  </w:style>
  <w:style w:type="character" w:customStyle="1" w:styleId="ata11y">
    <w:name w:val="at_a11y"/>
    <w:basedOn w:val="DefaultParagraphFont"/>
    <w:rsid w:val="00351360"/>
  </w:style>
  <w:style w:type="character" w:customStyle="1" w:styleId="f14">
    <w:name w:val="f14"/>
    <w:basedOn w:val="DefaultParagraphFont"/>
    <w:rsid w:val="00351360"/>
  </w:style>
  <w:style w:type="character" w:styleId="Strong">
    <w:name w:val="Strong"/>
    <w:basedOn w:val="DefaultParagraphFont"/>
    <w:uiPriority w:val="22"/>
    <w:qFormat/>
    <w:rsid w:val="00351360"/>
    <w:rPr>
      <w:b/>
      <w:bCs/>
    </w:rPr>
  </w:style>
  <w:style w:type="character" w:customStyle="1" w:styleId="Heading1Char">
    <w:name w:val="Heading 1 Char"/>
    <w:basedOn w:val="DefaultParagraphFont"/>
    <w:link w:val="Heading1"/>
    <w:uiPriority w:val="9"/>
    <w:rsid w:val="00D02E03"/>
    <w:rPr>
      <w:rFonts w:asciiTheme="majorHAnsi" w:eastAsiaTheme="majorEastAsia" w:hAnsiTheme="majorHAnsi" w:cstheme="majorBidi"/>
      <w:b/>
      <w:bCs/>
      <w:color w:val="365F91" w:themeColor="accent1" w:themeShade="BF"/>
      <w:sz w:val="28"/>
      <w:szCs w:val="28"/>
      <w:lang w:val="en-US"/>
    </w:rPr>
  </w:style>
  <w:style w:type="paragraph" w:styleId="EndnoteText">
    <w:name w:val="endnote text"/>
    <w:basedOn w:val="Normal"/>
    <w:link w:val="EndnoteTextChar"/>
    <w:uiPriority w:val="99"/>
    <w:semiHidden/>
    <w:unhideWhenUsed/>
    <w:rsid w:val="000B16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1676"/>
    <w:rPr>
      <w:rFonts w:ascii="Gill Sans MT" w:eastAsia="Calibri" w:hAnsi="Gill Sans MT" w:cs="Times New Roman"/>
      <w:sz w:val="20"/>
      <w:szCs w:val="20"/>
      <w:lang w:val="en-US"/>
    </w:rPr>
  </w:style>
  <w:style w:type="character" w:styleId="EndnoteReference">
    <w:name w:val="endnote reference"/>
    <w:basedOn w:val="DefaultParagraphFont"/>
    <w:uiPriority w:val="99"/>
    <w:semiHidden/>
    <w:unhideWhenUsed/>
    <w:rsid w:val="000B1676"/>
    <w:rPr>
      <w:vertAlign w:val="superscript"/>
    </w:rPr>
  </w:style>
  <w:style w:type="paragraph" w:styleId="FootnoteText">
    <w:name w:val="footnote text"/>
    <w:basedOn w:val="Normal"/>
    <w:link w:val="FootnoteTextChar"/>
    <w:uiPriority w:val="99"/>
    <w:semiHidden/>
    <w:unhideWhenUsed/>
    <w:rsid w:val="000B16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676"/>
    <w:rPr>
      <w:rFonts w:ascii="Gill Sans MT" w:eastAsia="Calibri" w:hAnsi="Gill Sans MT" w:cs="Times New Roman"/>
      <w:sz w:val="20"/>
      <w:szCs w:val="20"/>
      <w:lang w:val="en-US"/>
    </w:rPr>
  </w:style>
  <w:style w:type="character" w:styleId="FootnoteReference">
    <w:name w:val="footnote reference"/>
    <w:basedOn w:val="DefaultParagraphFont"/>
    <w:uiPriority w:val="99"/>
    <w:semiHidden/>
    <w:unhideWhenUsed/>
    <w:rsid w:val="000B16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50236">
      <w:bodyDiv w:val="1"/>
      <w:marLeft w:val="0"/>
      <w:marRight w:val="0"/>
      <w:marTop w:val="0"/>
      <w:marBottom w:val="0"/>
      <w:divBdr>
        <w:top w:val="none" w:sz="0" w:space="0" w:color="auto"/>
        <w:left w:val="none" w:sz="0" w:space="0" w:color="auto"/>
        <w:bottom w:val="none" w:sz="0" w:space="0" w:color="auto"/>
        <w:right w:val="none" w:sz="0" w:space="0" w:color="auto"/>
      </w:divBdr>
      <w:divsChild>
        <w:div w:id="652836235">
          <w:marLeft w:val="0"/>
          <w:marRight w:val="0"/>
          <w:marTop w:val="0"/>
          <w:marBottom w:val="0"/>
          <w:divBdr>
            <w:top w:val="none" w:sz="0" w:space="0" w:color="auto"/>
            <w:left w:val="none" w:sz="0" w:space="0" w:color="auto"/>
            <w:bottom w:val="none" w:sz="0" w:space="0" w:color="auto"/>
            <w:right w:val="none" w:sz="0" w:space="0" w:color="auto"/>
          </w:divBdr>
          <w:divsChild>
            <w:div w:id="206377327">
              <w:marLeft w:val="0"/>
              <w:marRight w:val="0"/>
              <w:marTop w:val="0"/>
              <w:marBottom w:val="0"/>
              <w:divBdr>
                <w:top w:val="none" w:sz="0" w:space="0" w:color="auto"/>
                <w:left w:val="none" w:sz="0" w:space="0" w:color="auto"/>
                <w:bottom w:val="none" w:sz="0" w:space="0" w:color="auto"/>
                <w:right w:val="none" w:sz="0" w:space="0" w:color="auto"/>
              </w:divBdr>
            </w:div>
            <w:div w:id="240138232">
              <w:marLeft w:val="0"/>
              <w:marRight w:val="0"/>
              <w:marTop w:val="0"/>
              <w:marBottom w:val="0"/>
              <w:divBdr>
                <w:top w:val="none" w:sz="0" w:space="0" w:color="auto"/>
                <w:left w:val="none" w:sz="0" w:space="0" w:color="auto"/>
                <w:bottom w:val="none" w:sz="0" w:space="0" w:color="auto"/>
                <w:right w:val="none" w:sz="0" w:space="0" w:color="auto"/>
              </w:divBdr>
              <w:divsChild>
                <w:div w:id="1650816499">
                  <w:marLeft w:val="0"/>
                  <w:marRight w:val="0"/>
                  <w:marTop w:val="0"/>
                  <w:marBottom w:val="0"/>
                  <w:divBdr>
                    <w:top w:val="none" w:sz="0" w:space="0" w:color="auto"/>
                    <w:left w:val="none" w:sz="0" w:space="0" w:color="auto"/>
                    <w:bottom w:val="none" w:sz="0" w:space="0" w:color="auto"/>
                    <w:right w:val="none" w:sz="0" w:space="0" w:color="auto"/>
                  </w:divBdr>
                  <w:divsChild>
                    <w:div w:id="17837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9704">
              <w:marLeft w:val="0"/>
              <w:marRight w:val="0"/>
              <w:marTop w:val="0"/>
              <w:marBottom w:val="0"/>
              <w:divBdr>
                <w:top w:val="none" w:sz="0" w:space="0" w:color="auto"/>
                <w:left w:val="none" w:sz="0" w:space="0" w:color="auto"/>
                <w:bottom w:val="none" w:sz="0" w:space="0" w:color="auto"/>
                <w:right w:val="none" w:sz="0" w:space="0" w:color="auto"/>
              </w:divBdr>
              <w:divsChild>
                <w:div w:id="7449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5624">
          <w:marLeft w:val="0"/>
          <w:marRight w:val="0"/>
          <w:marTop w:val="0"/>
          <w:marBottom w:val="0"/>
          <w:divBdr>
            <w:top w:val="none" w:sz="0" w:space="0" w:color="auto"/>
            <w:left w:val="none" w:sz="0" w:space="0" w:color="auto"/>
            <w:bottom w:val="none" w:sz="0" w:space="0" w:color="auto"/>
            <w:right w:val="none" w:sz="0" w:space="0" w:color="auto"/>
          </w:divBdr>
          <w:divsChild>
            <w:div w:id="1798374032">
              <w:marLeft w:val="0"/>
              <w:marRight w:val="0"/>
              <w:marTop w:val="0"/>
              <w:marBottom w:val="0"/>
              <w:divBdr>
                <w:top w:val="none" w:sz="0" w:space="0" w:color="auto"/>
                <w:left w:val="none" w:sz="0" w:space="0" w:color="auto"/>
                <w:bottom w:val="none" w:sz="0" w:space="0" w:color="auto"/>
                <w:right w:val="none" w:sz="0" w:space="0" w:color="auto"/>
              </w:divBdr>
              <w:divsChild>
                <w:div w:id="326638341">
                  <w:marLeft w:val="0"/>
                  <w:marRight w:val="0"/>
                  <w:marTop w:val="0"/>
                  <w:marBottom w:val="0"/>
                  <w:divBdr>
                    <w:top w:val="none" w:sz="0" w:space="0" w:color="auto"/>
                    <w:left w:val="none" w:sz="0" w:space="0" w:color="auto"/>
                    <w:bottom w:val="none" w:sz="0" w:space="0" w:color="auto"/>
                    <w:right w:val="none" w:sz="0" w:space="0" w:color="auto"/>
                  </w:divBdr>
                  <w:divsChild>
                    <w:div w:id="1903589785">
                      <w:marLeft w:val="0"/>
                      <w:marRight w:val="0"/>
                      <w:marTop w:val="0"/>
                      <w:marBottom w:val="0"/>
                      <w:divBdr>
                        <w:top w:val="none" w:sz="0" w:space="0" w:color="auto"/>
                        <w:left w:val="none" w:sz="0" w:space="0" w:color="auto"/>
                        <w:bottom w:val="none" w:sz="0" w:space="0" w:color="auto"/>
                        <w:right w:val="none" w:sz="0" w:space="0" w:color="auto"/>
                      </w:divBdr>
                    </w:div>
                    <w:div w:id="140537667">
                      <w:marLeft w:val="0"/>
                      <w:marRight w:val="0"/>
                      <w:marTop w:val="0"/>
                      <w:marBottom w:val="0"/>
                      <w:divBdr>
                        <w:top w:val="none" w:sz="0" w:space="0" w:color="auto"/>
                        <w:left w:val="none" w:sz="0" w:space="0" w:color="auto"/>
                        <w:bottom w:val="none" w:sz="0" w:space="0" w:color="auto"/>
                        <w:right w:val="none" w:sz="0" w:space="0" w:color="auto"/>
                      </w:divBdr>
                    </w:div>
                  </w:divsChild>
                </w:div>
                <w:div w:id="498541863">
                  <w:marLeft w:val="0"/>
                  <w:marRight w:val="0"/>
                  <w:marTop w:val="0"/>
                  <w:marBottom w:val="0"/>
                  <w:divBdr>
                    <w:top w:val="none" w:sz="0" w:space="0" w:color="auto"/>
                    <w:left w:val="none" w:sz="0" w:space="0" w:color="auto"/>
                    <w:bottom w:val="none" w:sz="0" w:space="0" w:color="auto"/>
                    <w:right w:val="none" w:sz="0" w:space="0" w:color="auto"/>
                  </w:divBdr>
                  <w:divsChild>
                    <w:div w:id="5848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8081">
              <w:marLeft w:val="0"/>
              <w:marRight w:val="0"/>
              <w:marTop w:val="0"/>
              <w:marBottom w:val="0"/>
              <w:divBdr>
                <w:top w:val="none" w:sz="0" w:space="0" w:color="auto"/>
                <w:left w:val="none" w:sz="0" w:space="0" w:color="auto"/>
                <w:bottom w:val="none" w:sz="0" w:space="0" w:color="auto"/>
                <w:right w:val="none" w:sz="0" w:space="0" w:color="auto"/>
              </w:divBdr>
              <w:divsChild>
                <w:div w:id="318924161">
                  <w:marLeft w:val="0"/>
                  <w:marRight w:val="0"/>
                  <w:marTop w:val="0"/>
                  <w:marBottom w:val="0"/>
                  <w:divBdr>
                    <w:top w:val="none" w:sz="0" w:space="0" w:color="auto"/>
                    <w:left w:val="none" w:sz="0" w:space="0" w:color="auto"/>
                    <w:bottom w:val="none" w:sz="0" w:space="0" w:color="auto"/>
                    <w:right w:val="none" w:sz="0" w:space="0" w:color="auto"/>
                  </w:divBdr>
                </w:div>
                <w:div w:id="6527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01443">
      <w:bodyDiv w:val="1"/>
      <w:marLeft w:val="0"/>
      <w:marRight w:val="0"/>
      <w:marTop w:val="0"/>
      <w:marBottom w:val="0"/>
      <w:divBdr>
        <w:top w:val="none" w:sz="0" w:space="0" w:color="auto"/>
        <w:left w:val="none" w:sz="0" w:space="0" w:color="auto"/>
        <w:bottom w:val="none" w:sz="0" w:space="0" w:color="auto"/>
        <w:right w:val="none" w:sz="0" w:space="0" w:color="auto"/>
      </w:divBdr>
    </w:div>
    <w:div w:id="170328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5DF8-629D-441F-B420-71A5A351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5128</Words>
  <Characters>29230</Characters>
  <Application>Microsoft Office Word</Application>
  <DocSecurity>0</DocSecurity>
  <Lines>243</Lines>
  <Paragraphs>68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PT Bukit Asam memiliki usaha dalam bidang Pertambangan, Perdagangan, Pengolahan,</vt:lpstr>
      <vt:lpstr>Sesuai Anggaran Dasar Perseroan Pasal 3, Perseroan berusaha dalam bidang pengemb</vt:lpstr>
    </vt:vector>
  </TitlesOfParts>
  <Company/>
  <LinksUpToDate>false</LinksUpToDate>
  <CharactersWithSpaces>34290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Donis</cp:lastModifiedBy>
  <cp:revision>4</cp:revision>
  <dcterms:created xsi:type="dcterms:W3CDTF">2014-03-30T09:27:00Z</dcterms:created>
  <dcterms:modified xsi:type="dcterms:W3CDTF">2017-09-25T03:39:00Z</dcterms:modified>
</cp:coreProperties>
</file>